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201</w:t>
      </w:r>
      <w:r>
        <w:rPr>
          <w:rFonts w:hint="eastAsia"/>
          <w:sz w:val="84"/>
          <w:szCs w:val="84"/>
          <w:lang w:val="en-US" w:eastAsia="zh-CN"/>
        </w:rPr>
        <w:t>8</w:t>
      </w:r>
      <w:r>
        <w:rPr>
          <w:rFonts w:hint="eastAsia"/>
          <w:sz w:val="84"/>
          <w:szCs w:val="84"/>
        </w:rPr>
        <w:t>年度</w:t>
      </w:r>
    </w:p>
    <w:p>
      <w:pPr>
        <w:pStyle w:val="9"/>
        <w:jc w:val="center"/>
        <w:rPr>
          <w:sz w:val="84"/>
          <w:szCs w:val="84"/>
        </w:rPr>
      </w:pPr>
      <w:r>
        <w:rPr>
          <w:rFonts w:hint="eastAsia"/>
          <w:sz w:val="84"/>
          <w:szCs w:val="84"/>
          <w:lang w:eastAsia="zh-CN"/>
        </w:rPr>
        <w:t>永州市不动产登记中心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永州市不动产登记中心</w:t>
      </w:r>
      <w:r>
        <w:rPr>
          <w:rFonts w:hint="eastAsia"/>
          <w:b/>
          <w:sz w:val="28"/>
          <w:szCs w:val="28"/>
        </w:rPr>
        <w:t>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w:t>
      </w:r>
      <w:r>
        <w:rPr>
          <w:rFonts w:hint="eastAsia" w:hAnsi="仿宋_GB2312"/>
          <w:b/>
          <w:sz w:val="28"/>
          <w:szCs w:val="28"/>
          <w:lang w:val="en-US" w:eastAsia="zh-CN"/>
        </w:rPr>
        <w:t>8</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w:t>
      </w:r>
      <w:r>
        <w:rPr>
          <w:rFonts w:hint="eastAsia" w:hAnsi="仿宋_GB2312"/>
          <w:b/>
          <w:sz w:val="28"/>
          <w:szCs w:val="28"/>
          <w:lang w:val="en-US" w:eastAsia="zh-CN"/>
        </w:rPr>
        <w:t>8</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lang w:eastAsia="zh-CN"/>
        </w:rPr>
        <w:t>重点绩效评价结果等</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spacing w:line="520" w:lineRule="exact"/>
        <w:jc w:val="left"/>
        <w:rPr>
          <w:rFonts w:hint="eastAsia" w:ascii="黑体" w:hAnsi="黑体" w:eastAsia="黑体" w:cs="黑体"/>
          <w:b/>
          <w:color w:val="000000"/>
          <w:kern w:val="0"/>
          <w:sz w:val="28"/>
          <w:szCs w:val="28"/>
          <w:lang w:val="en-US" w:eastAsia="zh-CN"/>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2018年度部门整体支出绩效评价报告</w:t>
      </w:r>
    </w:p>
    <w:p>
      <w:pPr>
        <w:spacing w:line="520" w:lineRule="exact"/>
        <w:jc w:val="left"/>
        <w:rPr>
          <w:rFonts w:hint="eastAsia" w:ascii="黑体" w:hAnsi="黑体" w:eastAsia="黑体" w:cs="黑体"/>
          <w:b/>
          <w:color w:val="000000"/>
          <w:kern w:val="0"/>
          <w:sz w:val="28"/>
          <w:szCs w:val="28"/>
          <w:lang w:val="en-US" w:eastAsia="zh-CN"/>
        </w:rPr>
      </w:pPr>
      <w:r>
        <w:rPr>
          <w:rFonts w:hint="eastAsia" w:ascii="黑体" w:hAnsi="黑体" w:eastAsia="黑体" w:cs="黑体"/>
          <w:b/>
          <w:color w:val="000000"/>
          <w:kern w:val="0"/>
          <w:sz w:val="28"/>
          <w:szCs w:val="28"/>
          <w:lang w:val="en-US" w:eastAsia="zh-CN"/>
        </w:rPr>
        <w:t>第六部分   2018年度部门项目支出绩效评价报告</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永州市不动产登记中心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根据市编办《关于印发〈永州市不动产登记中心主要职责内设机构和人员编制规定〉的通知》(永编办发〔2016〕105号)规定,我单位为归口市国土资源局管理的副处级公益一类事业单位,主要工作职责是:</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1.宣传贯彻执行有关不动产登记的法律、法规、规章和政策;</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2.承办冷水滩区(含永州经济技术开发区)范围内土地、房屋、林地等不动产登记工作;</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3.负责拟定不动产登记业务规范和工作流程,协助做好全市不动产登记业务指导和监管;</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4.负责不动产登记资料的收集、整理、保管、备份、归档工作;</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5.负责不动产登记数据整合和利用,开展全市不动产登记统计、分析,依法提供不动产登记查询服务;</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6.承办市自然资源和规划局交办的其他工作</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lang w:eastAsia="zh-CN"/>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numPr>
          <w:ilvl w:val="0"/>
          <w:numId w:val="0"/>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（一）内设机构设置。单位内设机构包括：办公室、财务科、城区土地房屋登记科、农村土地房屋登记科、林地登记科、质量监督科、信息技术科、档案管理科、法制服务科共9个内设机构。</w:t>
      </w:r>
    </w:p>
    <w:p>
      <w:pPr>
        <w:widowControl/>
        <w:numPr>
          <w:ilvl w:val="0"/>
          <w:numId w:val="0"/>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960" w:firstLineChars="300"/>
        <w:rPr>
          <w:rFonts w:asciiTheme="minorEastAsia" w:hAnsiTheme="minorEastAsia"/>
          <w:bCs/>
          <w:kern w:val="0"/>
          <w:sz w:val="32"/>
          <w:szCs w:val="32"/>
        </w:rPr>
      </w:pPr>
      <w:r>
        <w:rPr>
          <w:rFonts w:hint="eastAsia" w:asciiTheme="minorEastAsia" w:hAnsiTheme="minorEastAsia"/>
          <w:bCs/>
          <w:kern w:val="0"/>
          <w:sz w:val="32"/>
          <w:szCs w:val="32"/>
          <w:lang w:eastAsia="zh-CN"/>
        </w:rPr>
        <w:t>永州市不动产登记中心</w:t>
      </w:r>
      <w:r>
        <w:rPr>
          <w:rFonts w:hint="eastAsia" w:asciiTheme="minorEastAsia" w:hAnsiTheme="minorEastAsia"/>
          <w:bCs/>
          <w:kern w:val="0"/>
          <w:sz w:val="32"/>
          <w:szCs w:val="32"/>
        </w:rPr>
        <w:t>201</w:t>
      </w:r>
      <w:r>
        <w:rPr>
          <w:rFonts w:hint="eastAsia" w:asciiTheme="minorEastAsia" w:hAnsiTheme="minorEastAsia"/>
          <w:bCs/>
          <w:kern w:val="0"/>
          <w:sz w:val="32"/>
          <w:szCs w:val="32"/>
          <w:lang w:val="en-US" w:eastAsia="zh-CN"/>
        </w:rPr>
        <w:t>8</w:t>
      </w:r>
      <w:r>
        <w:rPr>
          <w:rFonts w:hint="eastAsia" w:asciiTheme="minorEastAsia" w:hAnsiTheme="minorEastAsia"/>
          <w:bCs/>
          <w:kern w:val="0"/>
          <w:sz w:val="32"/>
          <w:szCs w:val="32"/>
        </w:rPr>
        <w:t>年部门决算汇总公开单位构成</w:t>
      </w:r>
      <w:r>
        <w:rPr>
          <w:rFonts w:hint="eastAsia" w:asciiTheme="minorEastAsia" w:hAnsiTheme="minorEastAsia"/>
          <w:bCs/>
          <w:kern w:val="0"/>
          <w:sz w:val="32"/>
          <w:szCs w:val="32"/>
          <w:lang w:eastAsia="zh-CN"/>
        </w:rPr>
        <w:t>包括：</w:t>
      </w:r>
      <w:r>
        <w:rPr>
          <w:rFonts w:hint="eastAsia" w:asciiTheme="minorEastAsia" w:hAnsiTheme="minorEastAsia"/>
          <w:bCs/>
          <w:kern w:val="0"/>
          <w:sz w:val="32"/>
          <w:szCs w:val="32"/>
        </w:rPr>
        <w:t>永州市不动产登记中心本级</w:t>
      </w:r>
      <w:r>
        <w:rPr>
          <w:rFonts w:hint="eastAsia" w:asciiTheme="minorEastAsia" w:hAnsiTheme="minorEastAsia"/>
          <w:bCs/>
          <w:kern w:val="0"/>
          <w:sz w:val="32"/>
          <w:szCs w:val="32"/>
          <w:lang w:eastAsia="zh-CN"/>
        </w:rPr>
        <w:t>，我单位无本报表编报范围的下属二级单位。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 xml:space="preserve"> </w:t>
      </w:r>
      <w:r>
        <w:rPr>
          <w:rFonts w:ascii="Times New Roman" w:hAnsi="Times New Roman" w:eastAsia="黑体" w:cs="Times New Roman"/>
          <w:bCs/>
          <w:kern w:val="0"/>
          <w:sz w:val="32"/>
          <w:szCs w:val="32"/>
        </w:rPr>
        <w:drawing>
          <wp:inline distT="0" distB="0" distL="114300" distR="114300">
            <wp:extent cx="7385050" cy="5276215"/>
            <wp:effectExtent l="0" t="0" r="6350" b="635"/>
            <wp:docPr id="5" name="图片 5" descr="2018年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8年收入支出决算总表"/>
                    <pic:cNvPicPr>
                      <a:picLocks noChangeAspect="1"/>
                    </pic:cNvPicPr>
                  </pic:nvPicPr>
                  <pic:blipFill>
                    <a:blip r:embed="rId4"/>
                    <a:stretch>
                      <a:fillRect/>
                    </a:stretch>
                  </pic:blipFill>
                  <pic:spPr>
                    <a:xfrm>
                      <a:off x="0" y="0"/>
                      <a:ext cx="7385050" cy="5276215"/>
                    </a:xfrm>
                    <a:prstGeom prst="rect">
                      <a:avLst/>
                    </a:prstGeom>
                  </pic:spPr>
                </pic:pic>
              </a:graphicData>
            </a:graphic>
          </wp:inline>
        </w:drawing>
      </w: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drawing>
          <wp:inline distT="0" distB="0" distL="114300" distR="114300">
            <wp:extent cx="9773285" cy="3832860"/>
            <wp:effectExtent l="0" t="0" r="18415" b="15240"/>
            <wp:docPr id="6" name="图片 6" descr="2018年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8年收入决算表"/>
                    <pic:cNvPicPr>
                      <a:picLocks noChangeAspect="1"/>
                    </pic:cNvPicPr>
                  </pic:nvPicPr>
                  <pic:blipFill>
                    <a:blip r:embed="rId5"/>
                    <a:stretch>
                      <a:fillRect/>
                    </a:stretch>
                  </pic:blipFill>
                  <pic:spPr>
                    <a:xfrm>
                      <a:off x="0" y="0"/>
                      <a:ext cx="9773285" cy="3832860"/>
                    </a:xfrm>
                    <a:prstGeom prst="rect">
                      <a:avLst/>
                    </a:prstGeom>
                  </pic:spPr>
                </pic:pic>
              </a:graphicData>
            </a:graphic>
          </wp:inline>
        </w:drawing>
      </w: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hint="eastAsia" w:ascii="Times New Roman" w:hAnsi="Times New Roman" w:eastAsia="方正小标宋_GBK" w:cs="Times New Roman"/>
          <w:color w:val="000000"/>
          <w:kern w:val="0"/>
          <w:sz w:val="36"/>
          <w:szCs w:val="21"/>
          <w:lang w:eastAsia="zh-CN"/>
        </w:rPr>
      </w:pPr>
      <w:r>
        <w:rPr>
          <w:rFonts w:hint="eastAsia" w:ascii="Times New Roman" w:hAnsi="Times New Roman" w:eastAsia="方正小标宋_GBK" w:cs="Times New Roman"/>
          <w:color w:val="000000"/>
          <w:kern w:val="0"/>
          <w:sz w:val="36"/>
          <w:szCs w:val="21"/>
          <w:lang w:eastAsia="zh-CN"/>
        </w:rPr>
        <w:drawing>
          <wp:inline distT="0" distB="0" distL="114300" distR="114300">
            <wp:extent cx="9769475" cy="4320540"/>
            <wp:effectExtent l="0" t="0" r="3175" b="3810"/>
            <wp:docPr id="7" name="图片 7" descr="2018年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18年支出决算表"/>
                    <pic:cNvPicPr>
                      <a:picLocks noChangeAspect="1"/>
                    </pic:cNvPicPr>
                  </pic:nvPicPr>
                  <pic:blipFill>
                    <a:blip r:embed="rId6"/>
                    <a:stretch>
                      <a:fillRect/>
                    </a:stretch>
                  </pic:blipFill>
                  <pic:spPr>
                    <a:xfrm>
                      <a:off x="0" y="0"/>
                      <a:ext cx="9769475" cy="4320540"/>
                    </a:xfrm>
                    <a:prstGeom prst="rect">
                      <a:avLst/>
                    </a:prstGeom>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left"/>
        <w:rPr>
          <w:rFonts w:ascii="Times New Roman" w:hAnsi="Times New Roman" w:eastAsia="仿宋_GB2312" w:cs="Times New Roman"/>
          <w:bCs/>
          <w:kern w:val="0"/>
          <w:szCs w:val="21"/>
        </w:rPr>
      </w:pPr>
      <w:r>
        <w:rPr>
          <w:rFonts w:hint="eastAsia" w:ascii="Times New Roman" w:hAnsi="Times New Roman" w:eastAsia="方正小标宋_GBK" w:cs="Times New Roman"/>
          <w:kern w:val="0"/>
          <w:sz w:val="36"/>
          <w:szCs w:val="36"/>
          <w:lang w:val="en-US" w:eastAsia="zh-CN"/>
        </w:rPr>
        <w:t xml:space="preserve">  </w:t>
      </w:r>
      <w:r>
        <w:rPr>
          <w:rFonts w:ascii="Times New Roman" w:hAnsi="Times New Roman" w:eastAsia="方正小标宋_GBK" w:cs="Times New Roman"/>
          <w:kern w:val="0"/>
          <w:sz w:val="36"/>
          <w:szCs w:val="36"/>
        </w:rPr>
        <w:drawing>
          <wp:inline distT="0" distB="0" distL="114300" distR="114300">
            <wp:extent cx="9135745" cy="6643370"/>
            <wp:effectExtent l="0" t="0" r="8255" b="5080"/>
            <wp:docPr id="8" name="图片 8" descr="2018年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18年财政拨款收入支出决算总表"/>
                    <pic:cNvPicPr>
                      <a:picLocks noChangeAspect="1"/>
                    </pic:cNvPicPr>
                  </pic:nvPicPr>
                  <pic:blipFill>
                    <a:blip r:embed="rId7"/>
                    <a:stretch>
                      <a:fillRect/>
                    </a:stretch>
                  </pic:blipFill>
                  <pic:spPr>
                    <a:xfrm>
                      <a:off x="0" y="0"/>
                      <a:ext cx="9135745" cy="6643370"/>
                    </a:xfrm>
                    <a:prstGeom prst="rect">
                      <a:avLst/>
                    </a:prstGeom>
                  </pic:spPr>
                </pic:pic>
              </a:graphicData>
            </a:graphic>
          </wp:inline>
        </w:drawing>
      </w:r>
      <w:r>
        <w:rPr>
          <w:rFonts w:ascii="Times New Roman" w:hAnsi="Times New Roman" w:eastAsia="方正小标宋_GBK" w:cs="Times New Roman"/>
          <w:kern w:val="0"/>
          <w:sz w:val="36"/>
          <w:szCs w:val="36"/>
        </w:rPr>
        <w:t>一</w:t>
      </w:r>
    </w:p>
    <w:p>
      <w:pPr>
        <w:widowControl/>
        <w:ind w:firstLine="1470" w:firstLineChars="700"/>
        <w:jc w:val="left"/>
        <w:rPr>
          <w:rFonts w:ascii="Times New Roman" w:hAnsi="Times New Roman" w:eastAsia="仿宋_GB2312" w:cs="Times New Roman"/>
          <w:color w:val="000000"/>
          <w:kern w:val="0"/>
          <w:szCs w:val="21"/>
        </w:rPr>
      </w:pPr>
    </w:p>
    <w:p>
      <w:pPr>
        <w:widowControl/>
        <w:ind w:firstLine="1470" w:firstLineChars="700"/>
        <w:jc w:val="left"/>
        <w:rPr>
          <w:rFonts w:ascii="Times New Roman" w:hAnsi="Times New Roman" w:eastAsia="仿宋_GB2312" w:cs="Times New Roman"/>
          <w:color w:val="000000"/>
          <w:kern w:val="0"/>
          <w:szCs w:val="21"/>
        </w:rPr>
      </w:pPr>
    </w:p>
    <w:p>
      <w:pPr>
        <w:widowControl/>
        <w:ind w:firstLine="1470" w:firstLineChars="700"/>
        <w:jc w:val="left"/>
        <w:rPr>
          <w:rFonts w:ascii="Times New Roman" w:hAnsi="Times New Roman" w:eastAsia="仿宋_GB2312" w:cs="Times New Roman"/>
          <w:color w:val="000000"/>
          <w:kern w:val="0"/>
          <w:szCs w:val="21"/>
        </w:rPr>
      </w:pPr>
    </w:p>
    <w:p>
      <w:pPr>
        <w:widowControl/>
        <w:ind w:firstLine="1470" w:firstLineChars="700"/>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drawing>
          <wp:inline distT="0" distB="0" distL="114300" distR="114300">
            <wp:extent cx="7534275" cy="4038600"/>
            <wp:effectExtent l="0" t="0" r="9525" b="0"/>
            <wp:docPr id="9" name="图片 9" descr="2018年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8年一般公共预算财政拨款支出决算表"/>
                    <pic:cNvPicPr>
                      <a:picLocks noChangeAspect="1"/>
                    </pic:cNvPicPr>
                  </pic:nvPicPr>
                  <pic:blipFill>
                    <a:blip r:embed="rId8"/>
                    <a:stretch>
                      <a:fillRect/>
                    </a:stretch>
                  </pic:blipFill>
                  <pic:spPr>
                    <a:xfrm>
                      <a:off x="0" y="0"/>
                      <a:ext cx="7534275" cy="4038600"/>
                    </a:xfrm>
                    <a:prstGeom prst="rect">
                      <a:avLst/>
                    </a:prstGeom>
                  </pic:spPr>
                </pic:pic>
              </a:graphicData>
            </a:graphic>
          </wp:inline>
        </w:drawing>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Cs w:val="21"/>
        </w:rPr>
      </w:pPr>
    </w:p>
    <w:p>
      <w:pPr>
        <w:widowControl/>
        <w:jc w:val="left"/>
        <w:rPr>
          <w:rFonts w:ascii="宋体" w:eastAsia="宋体" w:cs="宋体"/>
          <w:kern w:val="0"/>
          <w:sz w:val="24"/>
          <w:szCs w:val="24"/>
        </w:rPr>
      </w:pPr>
      <w:r>
        <w:rPr>
          <w:rFonts w:ascii="Times New Roman" w:hAnsi="Times New Roman" w:eastAsia="仿宋_GB2312" w:cs="Times New Roman"/>
          <w:color w:val="000000"/>
          <w:kern w:val="0"/>
          <w:szCs w:val="21"/>
        </w:rPr>
        <w:drawing>
          <wp:inline distT="0" distB="0" distL="114300" distR="114300">
            <wp:extent cx="9775825" cy="5760085"/>
            <wp:effectExtent l="0" t="0" r="15875" b="12065"/>
            <wp:docPr id="10" name="图片 10" descr="2018年一般公共预算财政拨款基本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8年一般公共预算财政拨款基本支出决算表"/>
                    <pic:cNvPicPr>
                      <a:picLocks noChangeAspect="1"/>
                    </pic:cNvPicPr>
                  </pic:nvPicPr>
                  <pic:blipFill>
                    <a:blip r:embed="rId9"/>
                    <a:stretch>
                      <a:fillRect/>
                    </a:stretch>
                  </pic:blipFill>
                  <pic:spPr>
                    <a:xfrm>
                      <a:off x="0" y="0"/>
                      <a:ext cx="9775825" cy="5760085"/>
                    </a:xfrm>
                    <a:prstGeom prst="rect">
                      <a:avLst/>
                    </a:prstGeom>
                  </pic:spPr>
                </pic:pic>
              </a:graphicData>
            </a:graphic>
          </wp:inline>
        </w:drawing>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pStyle w:val="9"/>
        <w:rPr>
          <w:sz w:val="72"/>
          <w:szCs w:val="72"/>
        </w:rPr>
      </w:pPr>
    </w:p>
    <w:p>
      <w:pPr>
        <w:pStyle w:val="9"/>
        <w:rPr>
          <w:sz w:val="72"/>
          <w:szCs w:val="72"/>
        </w:rPr>
      </w:pPr>
    </w:p>
    <w:p>
      <w:pPr>
        <w:pStyle w:val="9"/>
        <w:rPr>
          <w:rFonts w:hint="eastAsia" w:eastAsia="黑体"/>
          <w:sz w:val="72"/>
          <w:szCs w:val="72"/>
          <w:lang w:eastAsia="zh-CN"/>
        </w:rPr>
      </w:pPr>
      <w:r>
        <w:rPr>
          <w:rFonts w:hint="eastAsia" w:eastAsia="黑体"/>
          <w:sz w:val="72"/>
          <w:szCs w:val="72"/>
          <w:lang w:eastAsia="zh-CN"/>
        </w:rPr>
        <w:drawing>
          <wp:inline distT="0" distB="0" distL="114300" distR="114300">
            <wp:extent cx="9768205" cy="2070100"/>
            <wp:effectExtent l="0" t="0" r="4445" b="6350"/>
            <wp:docPr id="11" name="图片 11" descr="2018年一般公共预算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18年一般公共预算财政拨款“三公”经费支出决算表"/>
                    <pic:cNvPicPr>
                      <a:picLocks noChangeAspect="1"/>
                    </pic:cNvPicPr>
                  </pic:nvPicPr>
                  <pic:blipFill>
                    <a:blip r:embed="rId10"/>
                    <a:stretch>
                      <a:fillRect/>
                    </a:stretch>
                  </pic:blipFill>
                  <pic:spPr>
                    <a:xfrm>
                      <a:off x="0" y="0"/>
                      <a:ext cx="9768205" cy="2070100"/>
                    </a:xfrm>
                    <a:prstGeom prst="rect">
                      <a:avLst/>
                    </a:prstGeom>
                  </pic:spPr>
                </pic:pic>
              </a:graphicData>
            </a:graphic>
          </wp:inline>
        </w:drawing>
      </w:r>
    </w:p>
    <w:p>
      <w:pPr>
        <w:pStyle w:val="9"/>
        <w:rPr>
          <w:rFonts w:hint="eastAsia" w:eastAsia="黑体"/>
          <w:sz w:val="72"/>
          <w:szCs w:val="72"/>
          <w:lang w:eastAsia="zh-CN"/>
        </w:rPr>
      </w:pPr>
    </w:p>
    <w:p>
      <w:pPr>
        <w:pStyle w:val="9"/>
        <w:rPr>
          <w:rFonts w:hint="eastAsia" w:eastAsia="黑体"/>
          <w:sz w:val="72"/>
          <w:szCs w:val="72"/>
          <w:lang w:eastAsia="zh-CN"/>
        </w:rPr>
      </w:pPr>
    </w:p>
    <w:p>
      <w:pPr>
        <w:pStyle w:val="9"/>
        <w:rPr>
          <w:rFonts w:hint="eastAsia" w:eastAsia="黑体"/>
          <w:sz w:val="72"/>
          <w:szCs w:val="72"/>
          <w:lang w:eastAsia="zh-CN"/>
        </w:rPr>
      </w:pPr>
    </w:p>
    <w:p>
      <w:pPr>
        <w:pStyle w:val="9"/>
        <w:rPr>
          <w:rFonts w:hint="eastAsia" w:eastAsia="黑体"/>
          <w:sz w:val="72"/>
          <w:szCs w:val="72"/>
          <w:lang w:eastAsia="zh-CN"/>
        </w:rPr>
      </w:pPr>
    </w:p>
    <w:p>
      <w:pPr>
        <w:pStyle w:val="9"/>
        <w:rPr>
          <w:rFonts w:hint="eastAsia" w:eastAsia="黑体"/>
          <w:sz w:val="72"/>
          <w:szCs w:val="72"/>
          <w:lang w:eastAsia="zh-CN"/>
        </w:rPr>
      </w:pPr>
    </w:p>
    <w:p>
      <w:pPr>
        <w:pStyle w:val="9"/>
        <w:rPr>
          <w:rFonts w:hint="eastAsia" w:eastAsia="黑体"/>
          <w:sz w:val="72"/>
          <w:szCs w:val="72"/>
          <w:lang w:eastAsia="zh-CN"/>
        </w:rPr>
      </w:pPr>
    </w:p>
    <w:p>
      <w:pPr>
        <w:pStyle w:val="9"/>
        <w:rPr>
          <w:rFonts w:hint="eastAsia" w:eastAsia="黑体"/>
          <w:sz w:val="72"/>
          <w:szCs w:val="72"/>
          <w:lang w:eastAsia="zh-CN"/>
        </w:rPr>
      </w:pPr>
    </w:p>
    <w:p>
      <w:pPr>
        <w:widowControl/>
        <w:jc w:val="center"/>
        <w:rPr>
          <w:rFonts w:ascii="Times New Roman" w:hAnsi="Times New Roman" w:eastAsia="方正小标宋_GBK" w:cs="Times New Roman"/>
          <w:color w:val="000000"/>
          <w:kern w:val="0"/>
          <w:sz w:val="36"/>
          <w:szCs w:val="36"/>
        </w:rPr>
      </w:pPr>
      <w:r>
        <w:rPr>
          <w:rFonts w:hint="eastAsia" w:eastAsia="黑体"/>
          <w:sz w:val="72"/>
          <w:szCs w:val="72"/>
          <w:lang w:eastAsia="zh-CN"/>
        </w:rPr>
        <w:drawing>
          <wp:inline distT="0" distB="0" distL="114300" distR="114300">
            <wp:extent cx="9677400" cy="3552825"/>
            <wp:effectExtent l="0" t="0" r="0" b="9525"/>
            <wp:docPr id="12" name="图片 12" descr="2018年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18年政府性基金预算财政拨款收入支出决算表"/>
                    <pic:cNvPicPr>
                      <a:picLocks noChangeAspect="1"/>
                    </pic:cNvPicPr>
                  </pic:nvPicPr>
                  <pic:blipFill>
                    <a:blip r:embed="rId11"/>
                    <a:stretch>
                      <a:fillRect/>
                    </a:stretch>
                  </pic:blipFill>
                  <pic:spPr>
                    <a:xfrm>
                      <a:off x="0" y="0"/>
                      <a:ext cx="9677400" cy="3552825"/>
                    </a:xfrm>
                    <a:prstGeom prst="rect">
                      <a:avLst/>
                    </a:prstGeom>
                  </pic:spPr>
                </pic:pic>
              </a:graphicData>
            </a:graphic>
          </wp:inline>
        </w:drawing>
      </w:r>
    </w:p>
    <w:p>
      <w:pPr>
        <w:widowControl/>
        <w:jc w:val="left"/>
        <w:rPr>
          <w:rFonts w:ascii="黑体" w:hAnsi="黑体" w:eastAsia="黑体"/>
          <w:szCs w:val="21"/>
        </w:rPr>
      </w:pPr>
      <w:r>
        <w:rPr>
          <w:rFonts w:ascii="黑体" w:hAnsi="黑体" w:eastAsia="黑体"/>
          <w:szCs w:val="21"/>
        </w:rPr>
        <w:br w:type="page"/>
      </w: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201</w:t>
      </w:r>
      <w:r>
        <w:rPr>
          <w:rFonts w:hint="eastAsia"/>
          <w:sz w:val="70"/>
          <w:szCs w:val="70"/>
          <w:lang w:val="en-US" w:eastAsia="zh-CN"/>
        </w:rPr>
        <w:t>8</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numPr>
          <w:ilvl w:val="0"/>
          <w:numId w:val="2"/>
        </w:numPr>
        <w:rPr>
          <w:rFonts w:hint="eastAsia" w:hAnsi="黑体"/>
          <w:b/>
          <w:sz w:val="32"/>
          <w:szCs w:val="32"/>
        </w:rPr>
      </w:pPr>
      <w:r>
        <w:rPr>
          <w:rFonts w:hint="eastAsia" w:hAnsi="黑体"/>
          <w:b/>
          <w:sz w:val="32"/>
          <w:szCs w:val="32"/>
        </w:rPr>
        <w:t>收入支出决算总体情况说明</w:t>
      </w:r>
    </w:p>
    <w:p>
      <w:pPr>
        <w:pStyle w:val="9"/>
        <w:numPr>
          <w:ilvl w:val="0"/>
          <w:numId w:val="0"/>
        </w:numPr>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2018年度财政拨款收入1415万元，本单位基本支出1409.23万元，其中工资福利支出1149.49万元，商品服务支出202.97万元，对个人和家庭的补助3.62万元，政府性基金预算财政拨款53.15万元。与2017年相比，收入比2017年决算数增加324.39万元，支出比2017年决算数增加162.42万元，主要是因为2018年机构改革，划转至我单位11名工作人员和增加了临聘人员30余人，造成收入、支出数的增加。</w:t>
      </w:r>
    </w:p>
    <w:p>
      <w:pPr>
        <w:pStyle w:val="9"/>
        <w:numPr>
          <w:ilvl w:val="0"/>
          <w:numId w:val="2"/>
        </w:numPr>
        <w:ind w:left="0" w:leftChars="0" w:firstLine="0" w:firstLineChars="0"/>
        <w:rPr>
          <w:rFonts w:hint="eastAsia" w:hAnsi="黑体"/>
          <w:b/>
          <w:sz w:val="32"/>
          <w:szCs w:val="32"/>
        </w:rPr>
      </w:pPr>
      <w:r>
        <w:rPr>
          <w:rFonts w:hint="eastAsia" w:hAnsi="黑体"/>
          <w:b/>
          <w:sz w:val="32"/>
          <w:szCs w:val="32"/>
        </w:rPr>
        <w:t>收入决算情况说明</w:t>
      </w:r>
    </w:p>
    <w:p>
      <w:pPr>
        <w:pStyle w:val="9"/>
        <w:numPr>
          <w:ilvl w:val="0"/>
          <w:numId w:val="0"/>
        </w:numPr>
        <w:ind w:leftChars="0"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年收入合计1415万元，其中：财政拨款收入1415万元（社会保障和就业支出收入8.26万元，占总收入的0.58%；城乡社区支出收入53.15万元，占总收入的3.76%；国土海洋气象等支出收入1353.59万元，占总收入的95.66%。，占100%）；2018年上级补助收入0万元，占0%；事业收入0万元，占0%；经营收入0万元，占0%；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default" w:asciiTheme="minorEastAsia" w:hAnsiTheme="minorEastAsia" w:eastAsiaTheme="minorEastAsia"/>
          <w:sz w:val="32"/>
          <w:szCs w:val="32"/>
          <w:lang w:val="en-US"/>
        </w:rPr>
      </w:pPr>
      <w:r>
        <w:rPr>
          <w:rFonts w:hint="eastAsia" w:cs="黑体" w:asciiTheme="minorEastAsia" w:hAnsiTheme="minorEastAsia" w:eastAsiaTheme="minorEastAsia"/>
          <w:color w:val="000000"/>
          <w:kern w:val="0"/>
          <w:sz w:val="32"/>
          <w:szCs w:val="32"/>
          <w:lang w:val="en-US" w:eastAsia="zh-CN" w:bidi="ar-SA"/>
        </w:rPr>
        <w:t>本年支出合计1409.23万元，其中：基本支出1409.23万元，占100%（社会保障和就业支出3.62万元，占总体支出的0.26%；城乡社区支出53.15万元，占总收入的3.77%；国土海洋气象等支出1352.46万元，占总体支出的95.97%）；项目支出0万元，占0%；上缴上级支出0万元，占0%；经营支出0万元，占0%；对附属单位补助支出0万元，占0%。</w:t>
      </w:r>
    </w:p>
    <w:p>
      <w:pPr>
        <w:pStyle w:val="9"/>
        <w:numPr>
          <w:ilvl w:val="0"/>
          <w:numId w:val="0"/>
        </w:numPr>
        <w:ind w:leftChars="0"/>
        <w:rPr>
          <w:rFonts w:hint="eastAsia" w:hAnsi="黑体"/>
          <w:b/>
          <w:sz w:val="32"/>
          <w:szCs w:val="32"/>
        </w:rPr>
      </w:pPr>
      <w:r>
        <w:rPr>
          <w:rFonts w:hint="eastAsia" w:hAnsi="黑体"/>
          <w:b/>
          <w:sz w:val="32"/>
          <w:szCs w:val="32"/>
          <w:lang w:eastAsia="zh-CN"/>
        </w:rPr>
        <w:t>四、</w:t>
      </w:r>
      <w:r>
        <w:rPr>
          <w:rFonts w:hint="eastAsia" w:hAnsi="黑体"/>
          <w:b/>
          <w:sz w:val="32"/>
          <w:szCs w:val="32"/>
        </w:rPr>
        <w:t>财政拨款收入支出决算总体情况说明</w:t>
      </w:r>
    </w:p>
    <w:p>
      <w:pPr>
        <w:pStyle w:val="9"/>
        <w:numPr>
          <w:ilvl w:val="0"/>
          <w:numId w:val="0"/>
        </w:numPr>
        <w:ind w:leftChars="0" w:firstLine="640" w:firstLineChars="200"/>
        <w:rPr>
          <w:rFonts w:hint="eastAsia"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2018年度财政拨款收入1415万元，与2017年相比，增加了324.39万元，增长29.74%；本单位财政拨款支出1409.23万元（基本支出），与2017年相比，增加了162.42万元，增长了13.03%，主要是因为2018年机构改革，新划转至我单位11名工作人员，造成收入、支出数的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960" w:firstLineChars="3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2018年度财政拨款支出1409.23万元，占本年支出合计的100%,与2017年相比，财政拨款支出增加162.42万元，增长13.03%，主要因机构改革单位人员增加，造成支出增加。</w:t>
      </w:r>
    </w:p>
    <w:p>
      <w:pPr>
        <w:pStyle w:val="9"/>
        <w:numPr>
          <w:ilvl w:val="0"/>
          <w:numId w:val="3"/>
        </w:numPr>
        <w:ind w:firstLine="480" w:firstLineChars="15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财政拨款支出决算结构情况</w:t>
      </w:r>
    </w:p>
    <w:p>
      <w:pPr>
        <w:pStyle w:val="9"/>
        <w:numPr>
          <w:ilvl w:val="0"/>
          <w:numId w:val="0"/>
        </w:num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2018年度财政拨款支出1409.23万元，主要用于以下方面：一般公共服务（类）支出，占100%（社会保障和就业支出3.62万元，占财政拨款支出的0.26%；国土海洋气象等支出1352.46万元，占总体支出的95.97% ；城乡社区支出53.15万元，占财政拨款支出的3.77%）；教育（类）支出0万元，占0%。</w:t>
      </w:r>
    </w:p>
    <w:p>
      <w:pPr>
        <w:pStyle w:val="9"/>
        <w:numPr>
          <w:ilvl w:val="0"/>
          <w:numId w:val="3"/>
        </w:numPr>
        <w:ind w:left="0" w:leftChars="0" w:firstLine="480" w:firstLineChars="150"/>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eastAsiaTheme="minorEastAsia"/>
          <w:b/>
          <w:sz w:val="32"/>
          <w:szCs w:val="32"/>
        </w:rPr>
        <w:t>财政拨款支出决算具体情况</w:t>
      </w:r>
    </w:p>
    <w:p>
      <w:pPr>
        <w:pStyle w:val="9"/>
        <w:numPr>
          <w:ilvl w:val="0"/>
          <w:numId w:val="0"/>
        </w:numPr>
        <w:ind w:leftChars="150"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2018年度财政拨款支出年初预算数为1173.88万元，支出决算数为1352.46万元，超出预算178.58万元。其中工资福利支出预算715.88万元，实际完成1149.49万元；商品和服务支出预算458万元,实际完成202.97万元。上年有财政拨款结转和结余437.42万元。因2018年机构改革，年初预算没有预计到人员的增加，导致实际完成数超出预算数。</w:t>
      </w:r>
    </w:p>
    <w:p>
      <w:pPr>
        <w:keepNext w:val="0"/>
        <w:keepLines w:val="0"/>
        <w:widowControl/>
        <w:suppressLineNumbers w:val="0"/>
        <w:shd w:val="clear" w:fill="FFFFFF"/>
        <w:spacing w:before="0" w:beforeAutospacing="1" w:after="0" w:afterAutospacing="1" w:line="640" w:lineRule="exact"/>
        <w:ind w:left="0" w:leftChars="0" w:right="0" w:rightChars="0" w:firstLine="48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具体到项级科目的情况：  </w:t>
      </w:r>
    </w:p>
    <w:p>
      <w:pPr>
        <w:keepNext w:val="0"/>
        <w:keepLines w:val="0"/>
        <w:widowControl/>
        <w:suppressLineNumbers w:val="0"/>
        <w:shd w:val="clear" w:fill="FFFFFF"/>
        <w:spacing w:before="0" w:beforeAutospacing="1" w:after="0" w:afterAutospacing="1" w:line="640" w:lineRule="exact"/>
        <w:ind w:left="0" w:leftChars="0" w:right="0" w:rightChars="0" w:firstLine="48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（1）社会保障和就业支出（类）抚恤（款）死亡抚恤（项）支出决算1.96万元，年初没有安排预算，主要是年中追加的单位离退休人员补贴。</w:t>
      </w:r>
    </w:p>
    <w:p>
      <w:pPr>
        <w:keepNext w:val="0"/>
        <w:keepLines w:val="0"/>
        <w:widowControl/>
        <w:suppressLineNumbers w:val="0"/>
        <w:shd w:val="clear" w:fill="FFFFFF"/>
        <w:spacing w:before="0" w:beforeAutospacing="1" w:after="0" w:afterAutospacing="1" w:line="640" w:lineRule="exact"/>
        <w:ind w:left="0" w:leftChars="0" w:right="0" w:rightChars="0" w:firstLine="48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（2）社会保障和就业支出（类）其他社会保障和就业支出（款）其他社会保障和就业支出（项）支出决算1.66万元，年初没有安排预算，主要是年中追加的单位职工死亡抚恤。</w:t>
      </w:r>
    </w:p>
    <w:p>
      <w:pPr>
        <w:keepNext w:val="0"/>
        <w:keepLines w:val="0"/>
        <w:widowControl/>
        <w:suppressLineNumbers w:val="0"/>
        <w:shd w:val="clear" w:fill="FFFFFF"/>
        <w:spacing w:before="0" w:beforeAutospacing="1" w:after="0" w:afterAutospacing="1" w:line="640" w:lineRule="exact"/>
        <w:ind w:left="0" w:leftChars="0" w:right="0" w:rightChars="0" w:firstLine="48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（3）国土海洋气象等支出（类）国土资源事务（款）行政运行（项）支出决算1149.49万元，年初预算安排798.88万元，完成预算143.89%，增加部分主要是年中追加的市直机关事业单位综治奖等人员经费。 </w:t>
      </w:r>
    </w:p>
    <w:p>
      <w:pPr>
        <w:keepNext w:val="0"/>
        <w:keepLines w:val="0"/>
        <w:widowControl/>
        <w:suppressLineNumbers w:val="0"/>
        <w:shd w:val="clear" w:fill="FFFFFF"/>
        <w:spacing w:before="0" w:beforeAutospacing="1" w:after="0" w:afterAutospacing="1" w:line="640" w:lineRule="exact"/>
        <w:ind w:left="0" w:leftChars="0" w:right="0" w:rightChars="0" w:firstLine="48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（4）国土海洋气象等支出（类）国土资源事务（款）其他国土资源事务支出（项）支出决算202.97万元，年初预算安排375万元，是从当年非税收入中安排。</w:t>
      </w:r>
    </w:p>
    <w:p>
      <w:pPr>
        <w:pStyle w:val="9"/>
        <w:rPr>
          <w:rFonts w:hint="eastAsia"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2018年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1356.08</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val="en-US" w:eastAsia="zh-CN"/>
        </w:rPr>
        <w:t>人员经费支出1153.11万元，占总支出的81.83%。工资福利支出1149.49万元，其中基本工资355.37万元，津贴补贴30.96万元，奖金258.86万元，伙食补助费36.66万元，其他社会保障缴费57.53万元，职工基本医疗保险缴费98.75万元，绩效工资258.77万元，其他工资福利支出52.59万元；对个人和家庭的补助支出3.62万元（全部为生活补助）。公用经费支出202.97万元，占总支出的14.4%。商品和服务支出202.97万元，其中办公费支出44.47万元，印刷费支出11万元，手续费0.13万元，邮电费0.95万元，差旅费10.47万元，维修（护）费1.41万元，培训费8.81万元，公务接待费4.68万元，劳务费49.56万元，工会经费27.4万元，福利费0.1万元，公务用车运行维护费4.62万元，其他商品和服务支出39.31万元。</w:t>
      </w:r>
    </w:p>
    <w:p>
      <w:pPr>
        <w:keepNext w:val="0"/>
        <w:keepLines w:val="0"/>
        <w:widowControl/>
        <w:suppressLineNumbers w:val="0"/>
        <w:shd w:val="clear" w:fill="FFFFFF"/>
        <w:spacing w:before="0" w:beforeAutospacing="1" w:after="0" w:afterAutospacing="1" w:line="640" w:lineRule="exact"/>
        <w:ind w:left="0" w:leftChars="0" w:right="0" w:rightChars="0" w:firstLine="1049" w:firstLineChars="328"/>
        <w:jc w:val="left"/>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因2018年的机构改革人员增加，导致办公费（办公设备的添置）、劳务费的明显增加；2018年外出学习培训增加，差旅费较上年增加较大。</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34.44</w:t>
      </w:r>
      <w:r>
        <w:rPr>
          <w:rFonts w:hint="eastAsia" w:asciiTheme="minorEastAsia" w:hAnsiTheme="minorEastAsia" w:eastAsiaTheme="minorEastAsia"/>
          <w:sz w:val="32"/>
          <w:szCs w:val="32"/>
        </w:rPr>
        <w:t>%，其中：</w:t>
      </w:r>
    </w:p>
    <w:p>
      <w:pPr>
        <w:keepNext w:val="0"/>
        <w:keepLines w:val="0"/>
        <w:widowControl/>
        <w:suppressLineNumbers w:val="0"/>
        <w:shd w:val="clear" w:fill="FFFFFF"/>
        <w:spacing w:before="0" w:beforeAutospacing="1" w:after="0" w:afterAutospacing="1" w:line="640" w:lineRule="exact"/>
        <w:ind w:right="0" w:rightChars="0"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因公出国（境）费支出预算为0万元，支出决算为0万元，因公出国（境）费用支出0万元，全年安排因公出国（境）团组0个，累计0人次，与上年度持平，主要原因是严控经费开支。</w:t>
      </w:r>
    </w:p>
    <w:p>
      <w:pPr>
        <w:keepNext w:val="0"/>
        <w:keepLines w:val="0"/>
        <w:widowControl/>
        <w:suppressLineNumbers w:val="0"/>
        <w:shd w:val="clear" w:fill="FFFFFF"/>
        <w:spacing w:before="0" w:beforeAutospacing="1" w:after="0" w:afterAutospacing="1" w:line="640" w:lineRule="exact"/>
        <w:ind w:right="0" w:rightChars="0"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%，决算数小于年初预算数的主要原因是从严控制公务接待，减少不必要接待，压缩接待开支，与上年相比增加</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16.42</w:t>
      </w:r>
      <w:r>
        <w:rPr>
          <w:rFonts w:hint="eastAsia" w:asciiTheme="minorEastAsia" w:hAnsiTheme="minorEastAsia" w:eastAsiaTheme="minorEastAsia"/>
          <w:sz w:val="32"/>
          <w:szCs w:val="32"/>
        </w:rPr>
        <w:t>%,增长主要原因是</w:t>
      </w:r>
      <w:r>
        <w:rPr>
          <w:rFonts w:hint="eastAsia" w:asciiTheme="minorEastAsia" w:hAnsiTheme="minorEastAsia" w:eastAsiaTheme="minorEastAsia"/>
          <w:sz w:val="32"/>
          <w:szCs w:val="32"/>
          <w:lang w:val="en-US" w:eastAsia="zh-CN"/>
        </w:rPr>
        <w:t>单位职工加班餐费和按规定开支的各类公务接待支出。</w:t>
      </w:r>
    </w:p>
    <w:p>
      <w:pPr>
        <w:keepNext w:val="0"/>
        <w:keepLines w:val="0"/>
        <w:widowControl/>
        <w:suppressLineNumbers w:val="0"/>
        <w:shd w:val="clear" w:fill="FFFFFF"/>
        <w:spacing w:before="0" w:beforeAutospacing="1" w:after="0" w:afterAutospacing="1" w:line="640" w:lineRule="exact"/>
        <w:ind w:right="0" w:rightChars="0"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51.33</w:t>
      </w:r>
      <w:r>
        <w:rPr>
          <w:rFonts w:hint="eastAsia" w:asciiTheme="minorEastAsia" w:hAnsiTheme="minorEastAsia" w:eastAsiaTheme="minorEastAsia"/>
          <w:sz w:val="32"/>
          <w:szCs w:val="32"/>
        </w:rPr>
        <w:t>%，决算数小于年初预算数的主要原因是</w:t>
      </w:r>
      <w:r>
        <w:rPr>
          <w:rFonts w:hint="eastAsia" w:cs="黑体" w:asciiTheme="minorEastAsia" w:hAnsiTheme="minorEastAsia" w:eastAsiaTheme="minorEastAsia"/>
          <w:color w:val="000000"/>
          <w:kern w:val="0"/>
          <w:sz w:val="32"/>
          <w:szCs w:val="32"/>
          <w:lang w:val="en-US" w:eastAsia="zh-CN" w:bidi="ar-SA"/>
        </w:rPr>
        <w:t>厉行节约</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2.46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113.89</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车辆逐年老化，2018年进行了一次大修，导致车辆维护费比上年增加较大。</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4.68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50.32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49.68</w:t>
      </w:r>
      <w:r>
        <w:rPr>
          <w:rFonts w:hint="eastAsia" w:asciiTheme="minorEastAsia" w:hAnsiTheme="minorEastAsia" w:eastAsiaTheme="minorEastAsia"/>
          <w:sz w:val="32"/>
          <w:szCs w:val="32"/>
        </w:rPr>
        <w:t>%。其中：</w:t>
      </w:r>
    </w:p>
    <w:p>
      <w:pPr>
        <w:pStyle w:val="9"/>
        <w:numPr>
          <w:ilvl w:val="0"/>
          <w:numId w:val="4"/>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，出国出境团组数</w:t>
      </w:r>
      <w:r>
        <w:rPr>
          <w:rFonts w:hint="eastAsia" w:asciiTheme="minorEastAsia" w:hAnsiTheme="minorEastAsia" w:eastAsiaTheme="minorEastAsia"/>
          <w:sz w:val="32"/>
          <w:szCs w:val="32"/>
          <w:lang w:val="en-US" w:eastAsia="zh-CN"/>
        </w:rPr>
        <w:t>0人次。</w:t>
      </w:r>
    </w:p>
    <w:p>
      <w:pPr>
        <w:pStyle w:val="9"/>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4.68</w:t>
      </w:r>
      <w:r>
        <w:rPr>
          <w:rFonts w:hint="eastAsia" w:asciiTheme="minorEastAsia" w:hAnsiTheme="minorEastAsia" w:eastAsiaTheme="minorEastAsia"/>
          <w:sz w:val="32"/>
          <w:szCs w:val="32"/>
        </w:rPr>
        <w:t>万元，全年共接待</w:t>
      </w:r>
      <w:r>
        <w:rPr>
          <w:rFonts w:hint="eastAsia" w:asciiTheme="minorEastAsia" w:hAnsiTheme="minorEastAsia" w:eastAsiaTheme="minorEastAsia"/>
          <w:sz w:val="32"/>
          <w:szCs w:val="32"/>
          <w:lang w:eastAsia="zh-CN"/>
        </w:rPr>
        <w:t>批次</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485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业务学习、信息交流</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4.62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4.62</w:t>
      </w:r>
      <w:r>
        <w:rPr>
          <w:rFonts w:hint="eastAsia" w:asciiTheme="minorEastAsia" w:hAnsiTheme="minorEastAsia"/>
          <w:sz w:val="32"/>
          <w:szCs w:val="32"/>
        </w:rPr>
        <w:t>万元，主要是</w:t>
      </w:r>
      <w:r>
        <w:rPr>
          <w:rFonts w:hint="eastAsia" w:asciiTheme="minorEastAsia" w:hAnsiTheme="minorEastAsia"/>
          <w:sz w:val="32"/>
          <w:szCs w:val="32"/>
          <w:lang w:eastAsia="zh-CN"/>
        </w:rPr>
        <w:t>车辆的维修费和过路费</w:t>
      </w:r>
      <w:r>
        <w:rPr>
          <w:rFonts w:hint="eastAsia" w:asciiTheme="minorEastAsia" w:hAnsiTheme="minorEastAsia"/>
          <w:sz w:val="32"/>
          <w:szCs w:val="32"/>
        </w:rPr>
        <w:t>支出，截止201</w:t>
      </w:r>
      <w:r>
        <w:rPr>
          <w:rFonts w:hint="eastAsia" w:asciiTheme="minorEastAsia" w:hAnsiTheme="minorEastAsia"/>
          <w:sz w:val="32"/>
          <w:szCs w:val="32"/>
          <w:lang w:val="en-US" w:eastAsia="zh-CN"/>
        </w:rPr>
        <w:t>8</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keepNext w:val="0"/>
        <w:keepLines w:val="0"/>
        <w:widowControl/>
        <w:suppressLineNumbers w:val="0"/>
        <w:shd w:val="clear" w:fill="FFFFFF"/>
        <w:spacing w:before="0" w:beforeAutospacing="1" w:after="0" w:afterAutospacing="1" w:line="640" w:lineRule="exact"/>
        <w:ind w:right="0" w:rightChars="0" w:firstLine="640" w:firstLineChars="200"/>
        <w:jc w:val="left"/>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年度政府性基金预算财政拨款收入</w:t>
      </w:r>
      <w:r>
        <w:rPr>
          <w:rFonts w:hint="eastAsia" w:asciiTheme="minorEastAsia" w:hAnsiTheme="minorEastAsia"/>
          <w:sz w:val="32"/>
          <w:szCs w:val="32"/>
          <w:lang w:val="en-US" w:eastAsia="zh-CN"/>
        </w:rPr>
        <w:t>53.15</w:t>
      </w:r>
      <w:r>
        <w:rPr>
          <w:rFonts w:hint="eastAsia" w:asciiTheme="minorEastAsia" w:hAnsiTheme="minorEastAsia" w:eastAsiaTheme="minorEastAsia"/>
          <w:sz w:val="32"/>
          <w:szCs w:val="32"/>
        </w:rPr>
        <w:t>万元；支出</w:t>
      </w:r>
      <w:r>
        <w:rPr>
          <w:rFonts w:hint="eastAsia" w:asciiTheme="minorEastAsia" w:hAnsiTheme="minorEastAsia"/>
          <w:sz w:val="32"/>
          <w:szCs w:val="32"/>
          <w:lang w:val="en-US" w:eastAsia="zh-CN"/>
        </w:rPr>
        <w:t>53.15</w:t>
      </w:r>
      <w:r>
        <w:rPr>
          <w:rFonts w:hint="eastAsia" w:asciiTheme="minorEastAsia" w:hAnsiTheme="minorEastAsia" w:eastAsiaTheme="minorEastAsia"/>
          <w:sz w:val="32"/>
          <w:szCs w:val="32"/>
        </w:rPr>
        <w:t>万元，</w:t>
      </w:r>
      <w:r>
        <w:rPr>
          <w:rFonts w:hint="eastAsia" w:asciiTheme="minorEastAsia" w:hAnsiTheme="minorEastAsia"/>
          <w:sz w:val="32"/>
          <w:szCs w:val="32"/>
          <w:lang w:eastAsia="zh-CN"/>
        </w:rPr>
        <w:t>全部为</w:t>
      </w:r>
      <w:r>
        <w:rPr>
          <w:rFonts w:hint="eastAsia" w:asciiTheme="minorEastAsia" w:hAnsiTheme="minorEastAsia" w:eastAsiaTheme="minorEastAsia"/>
          <w:sz w:val="32"/>
          <w:szCs w:val="32"/>
        </w:rPr>
        <w:t>基本支出。</w:t>
      </w:r>
      <w:r>
        <w:rPr>
          <w:rFonts w:hint="eastAsia" w:asciiTheme="minorEastAsia" w:hAnsiTheme="minorEastAsia" w:eastAsiaTheme="minorEastAsia"/>
          <w:sz w:val="32"/>
          <w:szCs w:val="32"/>
          <w:lang w:val="en-US" w:eastAsia="zh-CN"/>
        </w:rPr>
        <w:t>本年政府性基金预算财政拨款支出53.15万元，为城乡社区支出（类）国有土地使用权出让收入及对应专项债务收入安排的支出（款）土地出让业务支出（项）支出决算53.15万元，年初预算安排0万元，为财政拨付的档案移交费用。</w:t>
      </w:r>
    </w:p>
    <w:p>
      <w:pPr>
        <w:pStyle w:val="9"/>
        <w:numPr>
          <w:ilvl w:val="0"/>
          <w:numId w:val="5"/>
        </w:numPr>
        <w:rPr>
          <w:rFonts w:hint="eastAsia" w:hAnsi="黑体"/>
          <w:b/>
          <w:sz w:val="32"/>
          <w:szCs w:val="32"/>
        </w:rPr>
      </w:pPr>
      <w:r>
        <w:rPr>
          <w:rFonts w:hint="eastAsia" w:hAnsi="黑体"/>
          <w:b/>
          <w:sz w:val="32"/>
          <w:szCs w:val="32"/>
          <w:lang w:eastAsia="zh-CN"/>
        </w:rPr>
        <w:t>重点绩效评价结果等</w:t>
      </w:r>
      <w:r>
        <w:rPr>
          <w:rFonts w:hint="eastAsia" w:hAnsi="黑体"/>
          <w:b/>
          <w:sz w:val="32"/>
          <w:szCs w:val="32"/>
        </w:rPr>
        <w:t>预算绩效情况说明</w:t>
      </w:r>
    </w:p>
    <w:p>
      <w:pPr>
        <w:pStyle w:val="9"/>
        <w:numPr>
          <w:ilvl w:val="0"/>
          <w:numId w:val="0"/>
        </w:numPr>
        <w:ind w:firstLine="640" w:firstLineChars="200"/>
        <w:rPr>
          <w:rFonts w:hint="eastAsia" w:asciiTheme="minorEastAsia" w:hAnsiTheme="minorEastAsia" w:eastAsiaTheme="minorEastAsia"/>
          <w:sz w:val="32"/>
          <w:szCs w:val="32"/>
        </w:rPr>
      </w:pPr>
      <w:r>
        <w:rPr>
          <w:rFonts w:hint="eastAsia" w:hAnsi="黑体"/>
          <w:b/>
          <w:sz w:val="32"/>
          <w:szCs w:val="32"/>
          <w:lang w:val="en-US" w:eastAsia="zh-CN"/>
        </w:rPr>
        <w:t xml:space="preserve"> </w:t>
      </w:r>
      <w:r>
        <w:rPr>
          <w:rFonts w:hint="eastAsia" w:cs="黑体" w:asciiTheme="minorEastAsia" w:hAnsiTheme="minorEastAsia" w:eastAsiaTheme="minorEastAsia"/>
          <w:color w:val="000000"/>
          <w:kern w:val="0"/>
          <w:sz w:val="32"/>
          <w:szCs w:val="32"/>
          <w:lang w:val="en-US" w:eastAsia="zh-CN" w:bidi="ar-SA"/>
        </w:rPr>
        <w:t>2018年我单位在预算管理上严格控制</w:t>
      </w:r>
      <w:r>
        <w:rPr>
          <w:rFonts w:hint="default" w:cs="黑体" w:asciiTheme="minorEastAsia" w:hAnsiTheme="minorEastAsia" w:eastAsiaTheme="minorEastAsia"/>
          <w:color w:val="000000"/>
          <w:kern w:val="0"/>
          <w:sz w:val="32"/>
          <w:szCs w:val="32"/>
          <w:lang w:val="en-US" w:eastAsia="zh-CN" w:bidi="ar-SA"/>
        </w:rPr>
        <w:t>“三公”经费</w:t>
      </w:r>
      <w:bookmarkStart w:id="1" w:name="_GoBack"/>
      <w:bookmarkEnd w:id="1"/>
      <w:r>
        <w:rPr>
          <w:rFonts w:hint="eastAsia" w:cs="黑体" w:asciiTheme="minorEastAsia" w:hAnsiTheme="minorEastAsia" w:eastAsiaTheme="minorEastAsia"/>
          <w:color w:val="000000"/>
          <w:kern w:val="0"/>
          <w:sz w:val="32"/>
          <w:szCs w:val="32"/>
          <w:lang w:val="en-US" w:eastAsia="zh-CN" w:bidi="ar-SA"/>
        </w:rPr>
        <w:t>，按规定按标准开支。在采购方面严格执行政府采购程序。建立健全内部财务管理制度、会计核算制度等管理制度；在单位内实行厉行节约制度；相关管理制度合法、合规、完整；相关管理制度得到有效执行。资金使用合规，支出符合国家财经法规和财务管理制度规定以及有关专项资金管理办法的规定；资金拨付有完整的审批程序和手续；项目支出按规定经过评估论证；支出符合部门预算批复的用途；资金使用无截留、挤占、挪用、虚列支出等情况。预决算信息公开，按规定内容公开预决算信息；按规定时限公开预决算信息；基础数据信息和会计信息资料真实；基础数据信息和会计信息资料完整；基础数据信息和汇集信息资料准确。促进部门改进文风会风，加强经费及资产管理，推动网上办事，提高行政效率，降低行政成本。</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本部门201</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202.97</w:t>
      </w:r>
      <w:r>
        <w:rPr>
          <w:rFonts w:hint="eastAsia" w:cs="黑体" w:asciiTheme="minorEastAsia" w:hAnsiTheme="minorEastAsia"/>
          <w:color w:val="000000"/>
          <w:kern w:val="0"/>
          <w:sz w:val="32"/>
          <w:szCs w:val="32"/>
        </w:rPr>
        <w:t>万元，比年初预算数减少</w:t>
      </w:r>
      <w:r>
        <w:rPr>
          <w:rFonts w:hint="eastAsia" w:cs="黑体" w:asciiTheme="minorEastAsia" w:hAnsiTheme="minorEastAsia"/>
          <w:color w:val="000000"/>
          <w:kern w:val="0"/>
          <w:sz w:val="32"/>
          <w:szCs w:val="32"/>
          <w:lang w:val="en-US" w:eastAsia="zh-CN"/>
        </w:rPr>
        <w:t>255.03</w:t>
      </w:r>
      <w:r>
        <w:rPr>
          <w:rFonts w:hint="eastAsia" w:cs="黑体" w:asciiTheme="minorEastAsia" w:hAnsiTheme="minorEastAsia"/>
          <w:color w:val="000000"/>
          <w:kern w:val="0"/>
          <w:sz w:val="32"/>
          <w:szCs w:val="32"/>
        </w:rPr>
        <w:t>万元，降低</w:t>
      </w:r>
      <w:r>
        <w:rPr>
          <w:rFonts w:hint="eastAsia" w:cs="黑体" w:asciiTheme="minorEastAsia" w:hAnsiTheme="minorEastAsia"/>
          <w:color w:val="000000"/>
          <w:kern w:val="0"/>
          <w:sz w:val="32"/>
          <w:szCs w:val="32"/>
          <w:lang w:val="en-US" w:eastAsia="zh-CN"/>
        </w:rPr>
        <w:t>55.68</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年初预算数中包含了用于项目的支出。</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rPr>
        <w:t>年本部门开支培训费</w:t>
      </w:r>
      <w:r>
        <w:rPr>
          <w:rFonts w:hint="eastAsia" w:cs="黑体" w:asciiTheme="minorEastAsia" w:hAnsiTheme="minorEastAsia"/>
          <w:color w:val="000000"/>
          <w:kern w:val="0"/>
          <w:sz w:val="32"/>
          <w:szCs w:val="32"/>
          <w:lang w:val="en-US" w:eastAsia="zh-CN"/>
        </w:rPr>
        <w:t>8.81</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主要</w:t>
      </w:r>
      <w:r>
        <w:rPr>
          <w:rFonts w:hint="eastAsia" w:cs="黑体" w:asciiTheme="minorEastAsia" w:hAnsiTheme="minorEastAsia"/>
          <w:color w:val="000000"/>
          <w:kern w:val="0"/>
          <w:sz w:val="32"/>
          <w:szCs w:val="32"/>
        </w:rPr>
        <w:t>用于</w:t>
      </w:r>
      <w:r>
        <w:rPr>
          <w:rFonts w:hint="eastAsia" w:cs="黑体" w:asciiTheme="minorEastAsia" w:hAnsiTheme="minorEastAsia"/>
          <w:color w:val="000000"/>
          <w:kern w:val="0"/>
          <w:sz w:val="32"/>
          <w:szCs w:val="32"/>
          <w:lang w:eastAsia="zh-CN"/>
        </w:rPr>
        <w:t>参加</w:t>
      </w:r>
      <w:r>
        <w:rPr>
          <w:rFonts w:hint="eastAsia" w:cs="黑体" w:asciiTheme="minorEastAsia" w:hAnsiTheme="minorEastAsia"/>
          <w:color w:val="000000"/>
          <w:kern w:val="0"/>
          <w:sz w:val="32"/>
          <w:szCs w:val="32"/>
          <w:lang w:val="en-US" w:eastAsia="zh-CN"/>
        </w:rPr>
        <w:t>2018年第二期</w:t>
      </w:r>
      <w:r>
        <w:rPr>
          <w:rFonts w:hint="eastAsia" w:cs="黑体" w:asciiTheme="minorEastAsia" w:hAnsiTheme="minorEastAsia"/>
          <w:color w:val="000000"/>
          <w:kern w:val="0"/>
          <w:sz w:val="32"/>
          <w:szCs w:val="32"/>
          <w:lang w:eastAsia="zh-CN"/>
        </w:rPr>
        <w:t>国土资源管理</w:t>
      </w:r>
      <w:r>
        <w:rPr>
          <w:rFonts w:hint="eastAsia" w:cs="黑体" w:asciiTheme="minorEastAsia" w:hAnsiTheme="minorEastAsia"/>
          <w:color w:val="000000"/>
          <w:kern w:val="0"/>
          <w:sz w:val="32"/>
          <w:szCs w:val="32"/>
        </w:rPr>
        <w:t>培训，</w:t>
      </w:r>
      <w:r>
        <w:rPr>
          <w:rFonts w:hint="eastAsia" w:cs="黑体" w:asciiTheme="minorEastAsia" w:hAnsiTheme="minorEastAsia"/>
          <w:color w:val="000000"/>
          <w:kern w:val="0"/>
          <w:sz w:val="32"/>
          <w:szCs w:val="32"/>
          <w:lang w:eastAsia="zh-CN"/>
        </w:rPr>
        <w:t>参加</w:t>
      </w:r>
      <w:r>
        <w:rPr>
          <w:rFonts w:hint="eastAsia" w:cs="黑体" w:asciiTheme="minorEastAsia" w:hAnsiTheme="minorEastAsia"/>
          <w:color w:val="000000"/>
          <w:kern w:val="0"/>
          <w:sz w:val="32"/>
          <w:szCs w:val="32"/>
        </w:rPr>
        <w:t>人数</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国土资源管理业务学习</w:t>
      </w:r>
      <w:r>
        <w:rPr>
          <w:rFonts w:hint="eastAsia" w:cs="黑体" w:asciiTheme="minorEastAsia" w:hAnsiTheme="minorEastAsia"/>
          <w:color w:val="000000"/>
          <w:kern w:val="0"/>
          <w:sz w:val="32"/>
          <w:szCs w:val="32"/>
        </w:rPr>
        <w:t>；举办</w:t>
      </w:r>
      <w:r>
        <w:rPr>
          <w:rFonts w:hint="eastAsia" w:cs="黑体" w:asciiTheme="minorEastAsia" w:hAnsiTheme="minorEastAsia"/>
          <w:color w:val="000000"/>
          <w:kern w:val="0"/>
          <w:sz w:val="32"/>
          <w:szCs w:val="32"/>
          <w:lang w:eastAsia="zh-CN"/>
        </w:rPr>
        <w:t>全市不动产登记业务培训班</w:t>
      </w:r>
      <w:r>
        <w:rPr>
          <w:rFonts w:hint="eastAsia" w:cs="黑体" w:asciiTheme="minorEastAsia" w:hAnsiTheme="minorEastAsia"/>
          <w:color w:val="000000"/>
          <w:kern w:val="0"/>
          <w:sz w:val="32"/>
          <w:szCs w:val="32"/>
        </w:rPr>
        <w:t>开支</w:t>
      </w:r>
      <w:r>
        <w:rPr>
          <w:rFonts w:hint="eastAsia" w:cs="黑体" w:asciiTheme="minorEastAsia" w:hAnsiTheme="minorEastAsia"/>
          <w:color w:val="000000"/>
          <w:kern w:val="0"/>
          <w:sz w:val="32"/>
          <w:szCs w:val="32"/>
          <w:lang w:val="en-US" w:eastAsia="zh-CN"/>
        </w:rPr>
        <w:t>1.3</w:t>
      </w:r>
      <w:r>
        <w:rPr>
          <w:rFonts w:hint="eastAsia" w:cs="黑体" w:asciiTheme="minorEastAsia" w:hAnsiTheme="minorEastAsia"/>
          <w:color w:val="000000"/>
          <w:kern w:val="0"/>
          <w:sz w:val="32"/>
          <w:szCs w:val="32"/>
        </w:rPr>
        <w:t>万元，主要是</w:t>
      </w:r>
      <w:r>
        <w:rPr>
          <w:rFonts w:hint="eastAsia" w:cs="黑体" w:asciiTheme="minorEastAsia" w:hAnsiTheme="minorEastAsia"/>
          <w:color w:val="000000"/>
          <w:kern w:val="0"/>
          <w:sz w:val="32"/>
          <w:szCs w:val="32"/>
          <w:lang w:eastAsia="zh-CN"/>
        </w:rPr>
        <w:t>全市不动产登记业务培训学习，培训计划为在</w:t>
      </w:r>
      <w:r>
        <w:rPr>
          <w:rFonts w:hint="eastAsia" w:cs="黑体" w:asciiTheme="minorEastAsia" w:hAnsiTheme="minorEastAsia"/>
          <w:color w:val="000000"/>
          <w:kern w:val="0"/>
          <w:sz w:val="32"/>
          <w:szCs w:val="32"/>
          <w:lang w:val="en-US" w:eastAsia="zh-CN"/>
        </w:rPr>
        <w:t>2日内完成对不动产工作人员的业务培训，培训预算为5.39万元</w:t>
      </w:r>
      <w:r>
        <w:rPr>
          <w:rFonts w:hint="eastAsia" w:cs="黑体" w:asciiTheme="minorEastAsia" w:hAnsiTheme="minorEastAsia"/>
          <w:color w:val="000000"/>
          <w:kern w:val="0"/>
          <w:sz w:val="32"/>
          <w:szCs w:val="32"/>
        </w:rPr>
        <w:t>。</w:t>
      </w:r>
    </w:p>
    <w:p>
      <w:pPr>
        <w:numPr>
          <w:ilvl w:val="0"/>
          <w:numId w:val="6"/>
        </w:numPr>
        <w:ind w:leftChars="150" w:firstLine="320" w:firstLineChars="1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政府采购支出情况</w:t>
      </w:r>
    </w:p>
    <w:p>
      <w:pPr>
        <w:numPr>
          <w:ilvl w:val="0"/>
          <w:numId w:val="0"/>
        </w:num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numPr>
          <w:ilvl w:val="0"/>
          <w:numId w:val="0"/>
        </w:num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本单位201</w:t>
      </w: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lang w:eastAsia="zh-CN"/>
        </w:rPr>
        <w:t>年度没有进行政府采购，因每项采购的金额没有达到进行政府采购的金额，因此只进行了单位内部的采购程序。</w:t>
      </w:r>
    </w:p>
    <w:p>
      <w:pPr>
        <w:numPr>
          <w:ilvl w:val="0"/>
          <w:numId w:val="7"/>
        </w:numPr>
        <w:ind w:left="0" w:leftChars="0" w:firstLine="480" w:firstLineChars="15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国有资产占用情况</w:t>
      </w:r>
    </w:p>
    <w:p>
      <w:pPr>
        <w:numPr>
          <w:ilvl w:val="0"/>
          <w:numId w:val="0"/>
        </w:numPr>
        <w:ind w:firstLine="640" w:firstLineChars="200"/>
      </w:pPr>
      <w:r>
        <w:rPr>
          <w:rFonts w:hint="eastAsia" w:cs="黑体" w:asciiTheme="minorEastAsia" w:hAnsiTheme="minorEastAsia"/>
          <w:color w:val="000000"/>
          <w:kern w:val="0"/>
          <w:sz w:val="32"/>
          <w:szCs w:val="32"/>
          <w:lang w:val="en-US" w:eastAsia="zh-CN"/>
        </w:rPr>
        <w:t>截至2018 年12 月31 日，本单位共有车辆1辆，车牌号码为湘M1GT98，为一般公务用车。其中，领导干部用车0辆、机要通信用车0辆、应急保障用车0辆、执法执勤用车0辆、特种专业技术用车0辆、其他用车0辆；单位价值50万元以上通用设备0台（套）；单位价值100万元以上专用设备0台（套）</w:t>
      </w:r>
      <w:r>
        <w:rPr>
          <w:rFonts w:hint="eastAsia" w:ascii="仿宋" w:hAnsi="仿宋" w:eastAsia="仿宋" w:cs="仿宋"/>
          <w:color w:val="333333"/>
          <w:kern w:val="0"/>
          <w:sz w:val="32"/>
          <w:szCs w:val="32"/>
          <w:shd w:val="clear" w:fill="FFFFFF"/>
          <w:lang w:val="en-US" w:eastAsia="zh-CN" w:bidi="ar"/>
        </w:rPr>
        <w:t>。</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w:t>
      </w:r>
      <w:r>
        <w:rPr>
          <w:rFonts w:hint="eastAsia" w:cs="黑体" w:asciiTheme="minorEastAsia" w:hAnsiTheme="minorEastAsia"/>
          <w:color w:val="000000"/>
          <w:kern w:val="0"/>
          <w:sz w:val="32"/>
          <w:szCs w:val="32"/>
          <w:lang w:eastAsia="zh-CN"/>
        </w:rPr>
        <w:t>支</w:t>
      </w:r>
      <w:r>
        <w:rPr>
          <w:rFonts w:hint="eastAsia" w:cs="黑体" w:asciiTheme="minorEastAsia" w:hAnsiTheme="minorEastAsia"/>
          <w:color w:val="000000"/>
          <w:kern w:val="0"/>
          <w:sz w:val="32"/>
          <w:szCs w:val="32"/>
        </w:rPr>
        <w:t xml:space="preserve">出：指为保障机构正常运转、完成日常工作任务而发生的各项支出，包括人员支出和公用支出。 </w:t>
      </w:r>
      <w:r>
        <w:rPr>
          <w:rFonts w:hint="eastAsia" w:cs="黑体" w:asciiTheme="minorEastAsia" w:hAnsiTheme="minorEastAsia"/>
          <w:color w:val="000000"/>
          <w:kern w:val="0"/>
          <w:sz w:val="32"/>
          <w:szCs w:val="32"/>
        </w:rPr>
        <w:br w:type="textWrapping"/>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 xml:space="preserve">项目支出：指在基本支出以外为完成相关行政任务和事业发展目标所发生的各项支出。 </w:t>
      </w:r>
      <w:r>
        <w:rPr>
          <w:rFonts w:hint="eastAsia" w:cs="黑体" w:asciiTheme="minorEastAsia" w:hAnsiTheme="minorEastAsia"/>
          <w:color w:val="000000"/>
          <w:kern w:val="0"/>
          <w:sz w:val="32"/>
          <w:szCs w:val="32"/>
        </w:rPr>
        <w:br w:type="textWrapping"/>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lang w:eastAsia="zh-CN"/>
        </w:rPr>
        <w:t>三、</w:t>
      </w:r>
      <w:r>
        <w:rPr>
          <w:rFonts w:hint="eastAsia" w:cs="黑体" w:asciiTheme="minorEastAsia" w:hAnsiTheme="minorEastAsia"/>
          <w:color w:val="000000"/>
          <w:kern w:val="0"/>
          <w:sz w:val="32"/>
          <w:szCs w:val="32"/>
        </w:rPr>
        <w:t xml:space="preserve">“三公”经费：指通过财政拨款资金安排的因公出国（境）费、公务用车购置及运行费和公务接待费支出。 </w:t>
      </w:r>
      <w:r>
        <w:rPr>
          <w:rFonts w:hint="eastAsia" w:cs="黑体" w:asciiTheme="minorEastAsia" w:hAnsiTheme="minorEastAsia"/>
          <w:color w:val="000000"/>
          <w:kern w:val="0"/>
          <w:sz w:val="32"/>
          <w:szCs w:val="32"/>
        </w:rPr>
        <w:br w:type="textWrapping"/>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default" w:ascii="黑体" w:eastAsia="黑体" w:cs="黑体"/>
          <w:color w:val="000000"/>
          <w:kern w:val="0"/>
          <w:sz w:val="70"/>
          <w:szCs w:val="70"/>
          <w:lang w:val="en-US" w:eastAsia="zh-CN"/>
        </w:rPr>
      </w:pPr>
      <w:r>
        <w:rPr>
          <w:rFonts w:hint="eastAsia" w:ascii="黑体" w:eastAsia="黑体" w:cs="黑体"/>
          <w:color w:val="000000"/>
          <w:kern w:val="0"/>
          <w:sz w:val="70"/>
          <w:szCs w:val="70"/>
          <w:lang w:val="en-US" w:eastAsia="zh-CN"/>
        </w:rPr>
        <w:t>2018年度部门整体支出绩效评价报告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w:t>
      </w:r>
      <w:r>
        <w:rPr>
          <w:rFonts w:hint="eastAsia" w:cs="黑体" w:asciiTheme="minorEastAsia" w:hAnsiTheme="minorEastAsia"/>
          <w:b/>
          <w:color w:val="000000"/>
          <w:kern w:val="0"/>
          <w:sz w:val="32"/>
          <w:szCs w:val="32"/>
          <w:lang w:val="en-US" w:eastAsia="zh-CN"/>
        </w:rPr>
        <w:t>8</w:t>
      </w:r>
      <w:r>
        <w:rPr>
          <w:rFonts w:hint="eastAsia" w:cs="黑体" w:asciiTheme="minorEastAsia" w:hAnsiTheme="minorEastAsia"/>
          <w:b/>
          <w:color w:val="000000"/>
          <w:kern w:val="0"/>
          <w:sz w:val="32"/>
          <w:szCs w:val="32"/>
        </w:rPr>
        <w:t>年度部门整体支出绩效评价报告</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一.我中心2018年部门整体支出绩效评价98分，绩效等级为优。</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二、部门整体支出使用情况和当年重点工作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1409.23万元。①工资福利支出1149.49万元，其中基本工资355.37万元，津贴补贴67.62万元，绩效工资258.77万元；绩效考核奖金等258.86万元；社会保险缴费156.28万元；其他工资福利支出52.59万元；②一般商品和服务支出256.12万元；③对个人和家庭的补助3.62万元。</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2018年，市不动产登记中心在市局党组的正确领导下，积极</w:t>
      </w:r>
      <w:bookmarkStart w:id="0" w:name="OLE_LINK3"/>
      <w:r>
        <w:rPr>
          <w:rFonts w:hint="eastAsia" w:cs="黑体" w:asciiTheme="minorEastAsia" w:hAnsiTheme="minorEastAsia"/>
          <w:color w:val="000000"/>
          <w:kern w:val="0"/>
          <w:sz w:val="32"/>
          <w:szCs w:val="32"/>
        </w:rPr>
        <w:t>落实“最多跑一次”改革，稳步推进“互联网+政务服务”，不断优化窗口服务，开展多项便民措施、不断提高效能，</w:t>
      </w:r>
      <w:bookmarkEnd w:id="0"/>
      <w:r>
        <w:rPr>
          <w:rFonts w:hint="eastAsia" w:cs="黑体" w:asciiTheme="minorEastAsia" w:hAnsiTheme="minorEastAsia"/>
          <w:color w:val="000000"/>
          <w:kern w:val="0"/>
          <w:sz w:val="32"/>
          <w:szCs w:val="32"/>
        </w:rPr>
        <w:t>较好的完成了全年工作任务。</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三.绩效评价情况。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我中心2018年绩效目标完成较好，部门整体支出绩效评价98分；在管理制度健全性上对相关管理制度的更新不够及时扣2分。</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根据我中心绩效管理目标，中心部门整体支出保障了我中心工作的正常开展，更好地完成了冷水滩区（含永州经济技术开发区）范围内土地、房屋、林地等不动产登记等工作。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四.下一步工作安排。</w:t>
      </w:r>
    </w:p>
    <w:p>
      <w:pPr>
        <w:widowControl/>
        <w:shd w:val="clear" w:color="auto" w:fill="FFFFFF"/>
        <w:spacing w:before="100" w:beforeAutospacing="1" w:after="120" w:line="480" w:lineRule="auto"/>
        <w:ind w:firstLine="640" w:firstLineChars="200"/>
        <w:jc w:val="left"/>
        <w:rPr>
          <w:rFonts w:hint="eastAsia" w:ascii="仿宋_GB2312" w:hAnsi="仿宋" w:eastAsia="仿宋_GB2312"/>
          <w:sz w:val="32"/>
          <w:szCs w:val="32"/>
        </w:rPr>
      </w:pPr>
      <w:r>
        <w:rPr>
          <w:rFonts w:hint="eastAsia" w:cs="黑体" w:asciiTheme="minorEastAsia" w:hAnsiTheme="minorEastAsia"/>
          <w:color w:val="000000"/>
          <w:kern w:val="0"/>
          <w:sz w:val="32"/>
          <w:szCs w:val="32"/>
        </w:rPr>
        <w:t>我中心将进一步落实“最多跑一次”改革，稳步推进“互联网+政务服务”，不断优化窗口服务，开展多项便民措施、不断提高效能。相关制度应跟上现有的工作内容进行更新，在制度更新上稍微慢了一些，在今后的工作中会及时更新相关制度，为工作提供更好的保障</w:t>
      </w:r>
      <w:r>
        <w:rPr>
          <w:rFonts w:hint="eastAsia" w:ascii="仿宋" w:eastAsia="仿宋"/>
          <w:sz w:val="32"/>
          <w:szCs w:val="32"/>
        </w:rPr>
        <w:t>。</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w:t>
      </w:r>
      <w:r>
        <w:rPr>
          <w:rFonts w:hint="eastAsia"/>
          <w:sz w:val="72"/>
          <w:szCs w:val="72"/>
          <w:lang w:eastAsia="zh-CN"/>
        </w:rPr>
        <w:t>六</w:t>
      </w:r>
      <w:r>
        <w:rPr>
          <w:rFonts w:hint="eastAsia"/>
          <w:sz w:val="72"/>
          <w:szCs w:val="72"/>
        </w:rPr>
        <w:t>部分</w:t>
      </w:r>
    </w:p>
    <w:p>
      <w:pPr>
        <w:jc w:val="center"/>
        <w:rPr>
          <w:rFonts w:ascii="黑体" w:eastAsia="黑体" w:cs="黑体"/>
          <w:color w:val="000000"/>
          <w:kern w:val="0"/>
          <w:sz w:val="70"/>
          <w:szCs w:val="70"/>
        </w:rPr>
      </w:pPr>
    </w:p>
    <w:p>
      <w:pPr>
        <w:ind w:firstLine="1400" w:firstLineChars="200"/>
        <w:jc w:val="left"/>
        <w:rPr>
          <w:rFonts w:hint="eastAsia" w:ascii="黑体" w:eastAsia="黑体" w:cs="黑体"/>
          <w:color w:val="000000"/>
          <w:kern w:val="0"/>
          <w:sz w:val="70"/>
          <w:szCs w:val="70"/>
          <w:lang w:val="en-US" w:eastAsia="zh-CN"/>
        </w:rPr>
      </w:pPr>
      <w:r>
        <w:rPr>
          <w:rFonts w:hint="eastAsia" w:ascii="黑体" w:eastAsia="黑体" w:cs="黑体"/>
          <w:color w:val="000000"/>
          <w:kern w:val="0"/>
          <w:sz w:val="70"/>
          <w:szCs w:val="70"/>
          <w:lang w:val="en-US" w:eastAsia="zh-CN"/>
        </w:rPr>
        <w:t>2018年度部门项目支出绩效评价报告</w:t>
      </w: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ind w:firstLine="1400" w:firstLineChars="200"/>
        <w:jc w:val="left"/>
        <w:rPr>
          <w:rFonts w:hint="default"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lang w:val="en-US" w:eastAsia="zh-CN"/>
        </w:rPr>
      </w:pPr>
    </w:p>
    <w:p>
      <w:pPr>
        <w:widowControl/>
        <w:shd w:val="clear" w:color="auto" w:fill="FFFFFF"/>
        <w:spacing w:before="100" w:beforeAutospacing="1" w:after="120" w:line="480" w:lineRule="auto"/>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我单位2018年度部门决算项目支出0万元，因此无项目支出绩效自评报告。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825C1"/>
    <w:multiLevelType w:val="singleLevel"/>
    <w:tmpl w:val="9FF825C1"/>
    <w:lvl w:ilvl="0" w:tentative="0">
      <w:start w:val="1"/>
      <w:numFmt w:val="chineseCounting"/>
      <w:suff w:val="nothing"/>
      <w:lvlText w:val="%1、"/>
      <w:lvlJc w:val="left"/>
      <w:rPr>
        <w:rFonts w:hint="eastAsia"/>
      </w:rPr>
    </w:lvl>
  </w:abstractNum>
  <w:abstractNum w:abstractNumId="1">
    <w:nsid w:val="AA2D05DE"/>
    <w:multiLevelType w:val="singleLevel"/>
    <w:tmpl w:val="AA2D05DE"/>
    <w:lvl w:ilvl="0" w:tentative="0">
      <w:start w:val="4"/>
      <w:numFmt w:val="chineseCounting"/>
      <w:suff w:val="nothing"/>
      <w:lvlText w:val="（%1）"/>
      <w:lvlJc w:val="left"/>
      <w:rPr>
        <w:rFonts w:hint="eastAsia"/>
      </w:rPr>
    </w:lvl>
  </w:abstractNum>
  <w:abstractNum w:abstractNumId="2">
    <w:nsid w:val="02117D96"/>
    <w:multiLevelType w:val="singleLevel"/>
    <w:tmpl w:val="02117D96"/>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899A20"/>
    <w:multiLevelType w:val="singleLevel"/>
    <w:tmpl w:val="5C899A20"/>
    <w:lvl w:ilvl="0" w:tentative="0">
      <w:start w:val="9"/>
      <w:numFmt w:val="chineseCounting"/>
      <w:suff w:val="nothing"/>
      <w:lvlText w:val="%1、"/>
      <w:lvlJc w:val="left"/>
      <w:rPr>
        <w:rFonts w:hint="eastAsia"/>
      </w:rPr>
    </w:lvl>
  </w:abstractNum>
  <w:abstractNum w:abstractNumId="5">
    <w:nsid w:val="609BE7A8"/>
    <w:multiLevelType w:val="singleLevel"/>
    <w:tmpl w:val="609BE7A8"/>
    <w:lvl w:ilvl="0" w:tentative="0">
      <w:start w:val="1"/>
      <w:numFmt w:val="decimal"/>
      <w:suff w:val="nothing"/>
      <w:lvlText w:val="%1、"/>
      <w:lvlJc w:val="left"/>
    </w:lvl>
  </w:abstractNum>
  <w:abstractNum w:abstractNumId="6">
    <w:nsid w:val="60B77E3B"/>
    <w:multiLevelType w:val="singleLevel"/>
    <w:tmpl w:val="60B77E3B"/>
    <w:lvl w:ilvl="0" w:tentative="0">
      <w:start w:val="3"/>
      <w:numFmt w:val="chineseCounting"/>
      <w:suff w:val="nothing"/>
      <w:lvlText w:val="（%1）"/>
      <w:lvlJc w:val="left"/>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534B2"/>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090ECE"/>
    <w:rsid w:val="01195B78"/>
    <w:rsid w:val="01641F3B"/>
    <w:rsid w:val="018C590A"/>
    <w:rsid w:val="05A84279"/>
    <w:rsid w:val="06756EA9"/>
    <w:rsid w:val="07377ADA"/>
    <w:rsid w:val="09C33621"/>
    <w:rsid w:val="0A7322AF"/>
    <w:rsid w:val="0ADA3374"/>
    <w:rsid w:val="0B1B3778"/>
    <w:rsid w:val="0B2E3616"/>
    <w:rsid w:val="0B526F49"/>
    <w:rsid w:val="0B823E35"/>
    <w:rsid w:val="0DB135F0"/>
    <w:rsid w:val="0FCE65FD"/>
    <w:rsid w:val="10E80E81"/>
    <w:rsid w:val="121B2D79"/>
    <w:rsid w:val="133A5FCB"/>
    <w:rsid w:val="14251F71"/>
    <w:rsid w:val="15252C31"/>
    <w:rsid w:val="15F237A8"/>
    <w:rsid w:val="16B373E0"/>
    <w:rsid w:val="16F36926"/>
    <w:rsid w:val="17EF5E4C"/>
    <w:rsid w:val="19DC0DB0"/>
    <w:rsid w:val="1ACF42CE"/>
    <w:rsid w:val="1CB35926"/>
    <w:rsid w:val="1DDD7682"/>
    <w:rsid w:val="1F9671DF"/>
    <w:rsid w:val="1F974F78"/>
    <w:rsid w:val="1FC94013"/>
    <w:rsid w:val="20A966DB"/>
    <w:rsid w:val="212E35E1"/>
    <w:rsid w:val="2196113B"/>
    <w:rsid w:val="219671F2"/>
    <w:rsid w:val="224D27E0"/>
    <w:rsid w:val="253B6CD1"/>
    <w:rsid w:val="25F4461D"/>
    <w:rsid w:val="270F77F4"/>
    <w:rsid w:val="278B1686"/>
    <w:rsid w:val="27F51B48"/>
    <w:rsid w:val="2A305EF2"/>
    <w:rsid w:val="2A6A0661"/>
    <w:rsid w:val="2A777AA2"/>
    <w:rsid w:val="2FCD4937"/>
    <w:rsid w:val="31D60669"/>
    <w:rsid w:val="3336746E"/>
    <w:rsid w:val="344C6A92"/>
    <w:rsid w:val="36AE37F9"/>
    <w:rsid w:val="39FD04DF"/>
    <w:rsid w:val="3BAA3552"/>
    <w:rsid w:val="3CA4344E"/>
    <w:rsid w:val="3D155080"/>
    <w:rsid w:val="3DD86B6D"/>
    <w:rsid w:val="3FE03B65"/>
    <w:rsid w:val="41452C77"/>
    <w:rsid w:val="41C34A25"/>
    <w:rsid w:val="43252809"/>
    <w:rsid w:val="484C6ACB"/>
    <w:rsid w:val="48ED6407"/>
    <w:rsid w:val="4A0E4061"/>
    <w:rsid w:val="4AF61981"/>
    <w:rsid w:val="4B281811"/>
    <w:rsid w:val="4C264C34"/>
    <w:rsid w:val="4D7F6CFC"/>
    <w:rsid w:val="4DDB3983"/>
    <w:rsid w:val="4DE82B9C"/>
    <w:rsid w:val="50282E97"/>
    <w:rsid w:val="50725D3D"/>
    <w:rsid w:val="50C208FF"/>
    <w:rsid w:val="51C910BE"/>
    <w:rsid w:val="54456C87"/>
    <w:rsid w:val="554C33BF"/>
    <w:rsid w:val="56985F47"/>
    <w:rsid w:val="57F74B97"/>
    <w:rsid w:val="58B53934"/>
    <w:rsid w:val="58BE4415"/>
    <w:rsid w:val="5A2E0A2C"/>
    <w:rsid w:val="5BD23B45"/>
    <w:rsid w:val="5D486E37"/>
    <w:rsid w:val="5D5F6895"/>
    <w:rsid w:val="5E5644AE"/>
    <w:rsid w:val="5F715224"/>
    <w:rsid w:val="5FF202A5"/>
    <w:rsid w:val="62F416CF"/>
    <w:rsid w:val="63E84B2D"/>
    <w:rsid w:val="64331C65"/>
    <w:rsid w:val="65070B32"/>
    <w:rsid w:val="66401AAE"/>
    <w:rsid w:val="668B2F70"/>
    <w:rsid w:val="67645A66"/>
    <w:rsid w:val="69F83C37"/>
    <w:rsid w:val="6ACA3B66"/>
    <w:rsid w:val="6CDD2A45"/>
    <w:rsid w:val="6D2912B8"/>
    <w:rsid w:val="71726541"/>
    <w:rsid w:val="72821B91"/>
    <w:rsid w:val="73ED5DCC"/>
    <w:rsid w:val="751753C3"/>
    <w:rsid w:val="75417C4C"/>
    <w:rsid w:val="77053475"/>
    <w:rsid w:val="78BA6F31"/>
    <w:rsid w:val="79D0799D"/>
    <w:rsid w:val="7AFC576C"/>
    <w:rsid w:val="7B112F51"/>
    <w:rsid w:val="7CF51C38"/>
    <w:rsid w:val="7E195BDE"/>
    <w:rsid w:val="7FEB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0</TotalTime>
  <ScaleCrop>false</ScaleCrop>
  <LinksUpToDate>false</LinksUpToDate>
  <CharactersWithSpaces>8418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kylin</cp:lastModifiedBy>
  <cp:lastPrinted>2020-07-15T15:25:00Z</cp:lastPrinted>
  <dcterms:modified xsi:type="dcterms:W3CDTF">2024-12-17T16:34:03Z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909D5324FA61D2D67B37616750549745</vt:lpwstr>
  </property>
</Properties>
</file>