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2019年度</w:t>
      </w:r>
    </w:p>
    <w:p>
      <w:pPr>
        <w:pStyle w:val="9"/>
        <w:jc w:val="center"/>
        <w:rPr>
          <w:sz w:val="84"/>
          <w:szCs w:val="84"/>
        </w:rPr>
      </w:pPr>
      <w:r>
        <w:rPr>
          <w:rFonts w:hint="eastAsia"/>
          <w:sz w:val="84"/>
          <w:szCs w:val="84"/>
          <w:lang w:eastAsia="zh-CN"/>
        </w:rPr>
        <w:t>永州市不动产登记中心</w:t>
      </w: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spacing w:line="540" w:lineRule="exact"/>
        <w:jc w:val="both"/>
        <w:rPr>
          <w:sz w:val="56"/>
          <w:szCs w:val="56"/>
        </w:rPr>
      </w:pPr>
    </w:p>
    <w:p>
      <w:pPr>
        <w:pStyle w:val="9"/>
        <w:spacing w:line="540" w:lineRule="exact"/>
        <w:jc w:val="both"/>
        <w:rPr>
          <w:sz w:val="56"/>
          <w:szCs w:val="56"/>
        </w:rPr>
      </w:pPr>
    </w:p>
    <w:p>
      <w:pPr>
        <w:pStyle w:val="9"/>
        <w:spacing w:line="520" w:lineRule="exact"/>
        <w:jc w:val="center"/>
        <w:rPr>
          <w:sz w:val="56"/>
          <w:szCs w:val="56"/>
        </w:rPr>
      </w:pPr>
      <w:r>
        <w:rPr>
          <w:rFonts w:hint="eastAsia"/>
          <w:sz w:val="56"/>
          <w:szCs w:val="56"/>
        </w:rPr>
        <w:t>目录</w:t>
      </w:r>
    </w:p>
    <w:p>
      <w:pPr>
        <w:pStyle w:val="9"/>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lang w:eastAsia="zh-CN"/>
        </w:rPr>
        <w:t>永州市不动产登记中心</w:t>
      </w:r>
      <w:r>
        <w:rPr>
          <w:rFonts w:hint="eastAsia"/>
          <w:b/>
          <w:sz w:val="28"/>
          <w:szCs w:val="28"/>
        </w:rPr>
        <w:t>概况</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2019</w:t>
      </w:r>
      <w:r>
        <w:rPr>
          <w:rFonts w:hint="eastAsia" w:hAnsi="仿宋_GB2312"/>
          <w:b/>
          <w:sz w:val="28"/>
          <w:szCs w:val="28"/>
        </w:rPr>
        <w:t>年度部门决算表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2019</w:t>
      </w:r>
      <w:r>
        <w:rPr>
          <w:rFonts w:hint="eastAsia" w:hAnsi="仿宋_GB2312"/>
          <w:b/>
          <w:sz w:val="28"/>
          <w:szCs w:val="28"/>
        </w:rPr>
        <w:t>年度部门决算情况说明</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keepNext w:val="0"/>
        <w:keepLines w:val="0"/>
        <w:pageBreakBefore w:val="0"/>
        <w:widowControl w:val="0"/>
        <w:kinsoku/>
        <w:wordWrap/>
        <w:overflowPunct/>
        <w:topLinePunct w:val="0"/>
        <w:bidi w:val="0"/>
        <w:snapToGrid/>
        <w:spacing w:line="480" w:lineRule="exact"/>
        <w:ind w:firstLine="700" w:firstLineChars="250"/>
        <w:jc w:val="left"/>
        <w:textAlignment w:val="auto"/>
        <w:rPr>
          <w:rFonts w:ascii="仿宋_GB2312" w:hAnsi="仿宋_GB2312" w:cs="仿宋_GB2312"/>
          <w:sz w:val="28"/>
          <w:szCs w:val="28"/>
        </w:rPr>
      </w:pPr>
      <w:r>
        <w:rPr>
          <w:rFonts w:ascii="仿宋_GB2312" w:hAnsi="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lang w:eastAsia="zh-CN"/>
        </w:rPr>
        <w:t>重点绩效评价结果等</w:t>
      </w:r>
      <w:r>
        <w:rPr>
          <w:rFonts w:ascii="仿宋_GB2312" w:hAnsi="仿宋_GB2312" w:cs="仿宋_GB2312"/>
          <w:color w:val="000000"/>
          <w:kern w:val="0"/>
          <w:sz w:val="28"/>
          <w:szCs w:val="28"/>
        </w:rPr>
        <w:t>预算绩效情况说明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keepNext w:val="0"/>
        <w:keepLines w:val="0"/>
        <w:pageBreakBefore w:val="0"/>
        <w:widowControl w:val="0"/>
        <w:kinsoku/>
        <w:wordWrap/>
        <w:overflowPunct/>
        <w:topLinePunct w:val="0"/>
        <w:bidi w:val="0"/>
        <w:snapToGrid/>
        <w:spacing w:line="480" w:lineRule="exact"/>
        <w:jc w:val="left"/>
        <w:textAlignment w:val="auto"/>
        <w:rPr>
          <w:rFonts w:hint="eastAsia" w:ascii="黑体" w:hAnsi="黑体" w:eastAsia="黑体" w:cs="黑体"/>
          <w:b/>
          <w:color w:val="000000"/>
          <w:kern w:val="0"/>
          <w:sz w:val="28"/>
          <w:szCs w:val="28"/>
          <w:lang w:val="en-US" w:eastAsia="zh-CN"/>
        </w:rPr>
      </w:pPr>
      <w:r>
        <w:rPr>
          <w:rFonts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2019年度部门整体支出绩效评价报告</w:t>
      </w:r>
    </w:p>
    <w:p>
      <w:pPr>
        <w:keepNext w:val="0"/>
        <w:keepLines w:val="0"/>
        <w:pageBreakBefore w:val="0"/>
        <w:widowControl w:val="0"/>
        <w:kinsoku/>
        <w:wordWrap/>
        <w:overflowPunct/>
        <w:topLinePunct w:val="0"/>
        <w:bidi w:val="0"/>
        <w:snapToGrid/>
        <w:spacing w:line="480" w:lineRule="exact"/>
        <w:jc w:val="left"/>
        <w:textAlignment w:val="auto"/>
        <w:rPr>
          <w:rFonts w:hint="eastAsia" w:ascii="黑体" w:hAnsi="黑体" w:eastAsia="黑体" w:cs="黑体"/>
          <w:b/>
          <w:color w:val="000000"/>
          <w:kern w:val="0"/>
          <w:sz w:val="28"/>
          <w:szCs w:val="28"/>
          <w:lang w:val="en-US" w:eastAsia="zh-CN"/>
        </w:rPr>
      </w:pPr>
      <w:r>
        <w:rPr>
          <w:rFonts w:hint="eastAsia" w:ascii="黑体" w:hAnsi="黑体" w:eastAsia="黑体" w:cs="黑体"/>
          <w:b/>
          <w:color w:val="000000"/>
          <w:kern w:val="0"/>
          <w:sz w:val="28"/>
          <w:szCs w:val="28"/>
          <w:lang w:val="en-US" w:eastAsia="zh-CN"/>
        </w:rPr>
        <w:t>第六部分  2019年度部门项目支出绩效评价报告</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default" w:ascii="仿宋_GB2312" w:hAnsi="仿宋_GB2312" w:cs="仿宋_GB2312"/>
          <w:color w:val="000000"/>
          <w:kern w:val="0"/>
          <w:sz w:val="28"/>
          <w:szCs w:val="28"/>
          <w:lang w:val="en-US" w:eastAsia="zh-CN"/>
        </w:rPr>
      </w:pPr>
      <w:r>
        <w:rPr>
          <w:rFonts w:hint="eastAsia" w:ascii="仿宋_GB2312" w:hAnsi="仿宋_GB2312" w:cs="仿宋_GB2312"/>
          <w:color w:val="000000"/>
          <w:kern w:val="0"/>
          <w:sz w:val="28"/>
          <w:szCs w:val="28"/>
          <w:lang w:val="en-US" w:eastAsia="zh-CN"/>
        </w:rPr>
        <w:t>1、</w:t>
      </w:r>
      <w:r>
        <w:rPr>
          <w:rFonts w:hint="eastAsia" w:ascii="仿宋_GB2312" w:hAnsi="仿宋_GB2312" w:cs="仿宋_GB2312"/>
          <w:color w:val="000000"/>
          <w:kern w:val="0"/>
          <w:sz w:val="28"/>
          <w:szCs w:val="28"/>
        </w:rPr>
        <w:t>信息化建设项目</w:t>
      </w:r>
      <w:r>
        <w:rPr>
          <w:rFonts w:hint="eastAsia" w:ascii="仿宋_GB2312" w:hAnsi="仿宋_GB2312" w:cs="仿宋_GB2312"/>
          <w:color w:val="000000"/>
          <w:kern w:val="0"/>
          <w:sz w:val="28"/>
          <w:szCs w:val="28"/>
          <w:lang w:eastAsia="zh-CN"/>
        </w:rPr>
        <w:t>支出</w:t>
      </w:r>
      <w:r>
        <w:rPr>
          <w:rFonts w:hint="eastAsia" w:ascii="仿宋_GB2312" w:hAnsi="仿宋_GB2312" w:cs="仿宋_GB2312"/>
          <w:color w:val="000000"/>
          <w:kern w:val="0"/>
          <w:sz w:val="28"/>
          <w:szCs w:val="28"/>
        </w:rPr>
        <w:t>绩效</w:t>
      </w:r>
      <w:r>
        <w:rPr>
          <w:rFonts w:hint="eastAsia" w:ascii="仿宋_GB2312" w:hAnsi="仿宋_GB2312" w:cs="仿宋_GB2312"/>
          <w:color w:val="000000"/>
          <w:kern w:val="0"/>
          <w:sz w:val="28"/>
          <w:szCs w:val="28"/>
          <w:lang w:eastAsia="zh-CN"/>
        </w:rPr>
        <w:t>评价</w:t>
      </w:r>
      <w:r>
        <w:rPr>
          <w:rFonts w:hint="eastAsia" w:ascii="仿宋_GB2312" w:hAnsi="仿宋_GB2312" w:cs="仿宋_GB2312"/>
          <w:color w:val="000000"/>
          <w:kern w:val="0"/>
          <w:sz w:val="28"/>
          <w:szCs w:val="28"/>
        </w:rPr>
        <w:t>报告</w:t>
      </w:r>
    </w:p>
    <w:p>
      <w:pPr>
        <w:pStyle w:val="9"/>
        <w:tabs>
          <w:tab w:val="left" w:pos="1209"/>
          <w:tab w:val="center" w:pos="4423"/>
        </w:tabs>
        <w:jc w:val="center"/>
        <w:rPr>
          <w:sz w:val="84"/>
          <w:szCs w:val="84"/>
        </w:rPr>
      </w:pPr>
      <w:r>
        <w:rPr>
          <w:rFonts w:hint="eastAsia"/>
          <w:sz w:val="84"/>
          <w:szCs w:val="84"/>
        </w:rPr>
        <w:t>第一部分</w:t>
      </w:r>
    </w:p>
    <w:p>
      <w:pPr>
        <w:pStyle w:val="9"/>
        <w:jc w:val="center"/>
        <w:rPr>
          <w:sz w:val="84"/>
          <w:szCs w:val="84"/>
        </w:rPr>
      </w:pPr>
    </w:p>
    <w:p>
      <w:pPr>
        <w:pStyle w:val="9"/>
        <w:jc w:val="center"/>
        <w:rPr>
          <w:sz w:val="84"/>
          <w:szCs w:val="84"/>
        </w:rPr>
      </w:pPr>
      <w:r>
        <w:rPr>
          <w:rFonts w:hint="eastAsia"/>
          <w:sz w:val="84"/>
          <w:szCs w:val="84"/>
          <w:lang w:eastAsia="zh-CN"/>
        </w:rPr>
        <w:t>永州市不动产登记中心</w:t>
      </w:r>
      <w:r>
        <w:rPr>
          <w:rFonts w:hint="eastAsia"/>
          <w:sz w:val="84"/>
          <w:szCs w:val="84"/>
        </w:rPr>
        <w:t>概况</w:t>
      </w:r>
    </w:p>
    <w:p>
      <w:pPr>
        <w:jc w:val="center"/>
        <w:rPr>
          <w:sz w:val="72"/>
          <w:szCs w:val="72"/>
        </w:rPr>
      </w:pPr>
    </w:p>
    <w:p>
      <w:pPr>
        <w:pStyle w:val="10"/>
        <w:numPr>
          <w:ilvl w:val="0"/>
          <w:numId w:val="0"/>
        </w:numPr>
        <w:jc w:val="left"/>
        <w:rPr>
          <w:rFonts w:hint="eastAsia" w:ascii="黑体" w:hAnsi="黑体" w:eastAsia="黑体"/>
          <w:sz w:val="32"/>
          <w:szCs w:val="32"/>
          <w:lang w:eastAsia="zh-CN"/>
        </w:rPr>
      </w:pPr>
    </w:p>
    <w:p>
      <w:pPr>
        <w:pStyle w:val="10"/>
        <w:numPr>
          <w:ilvl w:val="0"/>
          <w:numId w:val="0"/>
        </w:numPr>
        <w:ind w:leftChars="0" w:firstLine="640" w:firstLineChars="200"/>
        <w:jc w:val="left"/>
        <w:rPr>
          <w:rFonts w:ascii="黑体" w:hAnsi="黑体" w:eastAsia="黑体"/>
          <w:sz w:val="32"/>
          <w:szCs w:val="32"/>
        </w:rPr>
      </w:pPr>
      <w:r>
        <w:rPr>
          <w:rFonts w:hint="eastAsia" w:ascii="黑体" w:hAnsi="黑体" w:eastAsia="黑体"/>
          <w:sz w:val="32"/>
          <w:szCs w:val="32"/>
          <w:lang w:eastAsia="zh-CN"/>
        </w:rPr>
        <w:t>一、</w:t>
      </w:r>
      <w:r>
        <w:rPr>
          <w:rFonts w:ascii="黑体" w:hAnsi="黑体" w:eastAsia="黑体"/>
          <w:sz w:val="32"/>
          <w:szCs w:val="32"/>
        </w:rPr>
        <w:t>部门职责</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根据市编办《关于印发〈永州市不动产登记中心主要职责内设机构和人员编制规定〉的通知》(永编办发〔2016〕105号)规定,我单位为归口市国土资源局管理的副处级公益一类事业单位,主要工作职责是:</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1.宣传贯彻执行有关不动产登记的法律、法规、规章和政策;</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2.承办冷水滩区(含永州经济技术开发区)范围内土地、房屋、林地等不动产登记工作;</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3.负责拟定不动产登记业务规范和工作流程,协助做好全市不动产登记业务指导和监管;</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4.负责不动产登记资料的收集、整理、保管、备份、归档工作;</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5.负责不动产登记数据整合和利用,开展全市不动产登记统计、分析,依法提供不动产登记查询服务;</w:t>
      </w:r>
    </w:p>
    <w:p>
      <w:pPr>
        <w:widowControl/>
        <w:spacing w:line="600" w:lineRule="exact"/>
        <w:ind w:firstLine="640" w:firstLineChars="200"/>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6.承办市自然资源和规划局交办的其他工作</w:t>
      </w:r>
      <w:r>
        <w:rPr>
          <w:rFonts w:hint="eastAsia" w:asciiTheme="minorEastAsia" w:hAnsiTheme="minorEastAsia"/>
          <w:bCs/>
          <w:kern w:val="0"/>
          <w:sz w:val="32"/>
          <w:szCs w:val="32"/>
          <w:lang w:eastAsia="zh-CN"/>
        </w:rPr>
        <w:t>。</w:t>
      </w:r>
    </w:p>
    <w:p>
      <w:pPr>
        <w:jc w:val="left"/>
        <w:rPr>
          <w:rFonts w:ascii="仿宋_GB2312" w:eastAsia="仿宋_GB2312" w:hAnsiTheme="minorEastAsia"/>
          <w:sz w:val="28"/>
          <w:szCs w:val="32"/>
        </w:rPr>
      </w:pPr>
    </w:p>
    <w:p>
      <w:pPr>
        <w:widowControl/>
        <w:numPr>
          <w:ilvl w:val="0"/>
          <w:numId w:val="1"/>
        </w:numPr>
        <w:spacing w:line="600" w:lineRule="exact"/>
        <w:ind w:firstLine="640" w:firstLineChars="200"/>
        <w:rPr>
          <w:rFonts w:hint="eastAsia" w:ascii="黑体" w:hAnsi="黑体" w:eastAsia="黑体"/>
          <w:bCs/>
          <w:kern w:val="0"/>
          <w:sz w:val="32"/>
          <w:szCs w:val="32"/>
        </w:rPr>
      </w:pPr>
      <w:r>
        <w:rPr>
          <w:rFonts w:hint="eastAsia" w:ascii="黑体" w:hAnsi="黑体" w:eastAsia="黑体"/>
          <w:bCs/>
          <w:kern w:val="0"/>
          <w:sz w:val="32"/>
          <w:szCs w:val="32"/>
        </w:rPr>
        <w:t>机构设置及决算单位构成</w:t>
      </w:r>
    </w:p>
    <w:p>
      <w:pPr>
        <w:widowControl/>
        <w:numPr>
          <w:ilvl w:val="0"/>
          <w:numId w:val="0"/>
        </w:numPr>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（一）内设机构设置。单位内设机构包括：办公室、财务科、城区土地房屋登记科、农村土地房屋登记科、林地登记科、质量监督科、信息技术科、档案管理科、法制服务科共9个内设机构。</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（二）决算单位构成。201</w:t>
      </w:r>
      <w:r>
        <w:rPr>
          <w:rFonts w:hint="eastAsia" w:asciiTheme="minorEastAsia" w:hAnsiTheme="minorEastAsia"/>
          <w:bCs/>
          <w:kern w:val="0"/>
          <w:sz w:val="32"/>
          <w:szCs w:val="32"/>
          <w:lang w:val="en-US" w:eastAsia="zh-CN"/>
        </w:rPr>
        <w:t>9</w:t>
      </w:r>
      <w:r>
        <w:rPr>
          <w:rFonts w:hint="eastAsia" w:asciiTheme="minorEastAsia" w:hAnsiTheme="minorEastAsia"/>
          <w:bCs/>
          <w:kern w:val="0"/>
          <w:sz w:val="32"/>
          <w:szCs w:val="32"/>
        </w:rPr>
        <w:t>年部门决算汇总公开单位构成包括：永州市不动产登记中心本级</w:t>
      </w:r>
      <w:r>
        <w:rPr>
          <w:rFonts w:hint="eastAsia" w:asciiTheme="minorEastAsia" w:hAnsiTheme="minorEastAsia"/>
          <w:bCs/>
          <w:kern w:val="0"/>
          <w:sz w:val="32"/>
          <w:szCs w:val="32"/>
          <w:lang w:eastAsia="zh-CN"/>
        </w:rPr>
        <w:t>，无纳入编制范围的二级单位。</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both"/>
        <w:rPr>
          <w:rFonts w:hint="eastAsia"/>
          <w:sz w:val="72"/>
          <w:szCs w:val="72"/>
        </w:rPr>
      </w:pPr>
    </w:p>
    <w:p>
      <w:pPr>
        <w:jc w:val="center"/>
        <w:rPr>
          <w:rFonts w:hint="eastAsia"/>
          <w:sz w:val="72"/>
          <w:szCs w:val="72"/>
        </w:rPr>
      </w:pPr>
    </w:p>
    <w:p>
      <w:pPr>
        <w:jc w:val="center"/>
        <w:rPr>
          <w:rFonts w:hint="eastAsia" w:ascii="黑体" w:eastAsia="黑体" w:cs="黑体" w:hAnsiTheme="minorHAnsi"/>
          <w:color w:val="000000"/>
          <w:kern w:val="0"/>
          <w:sz w:val="84"/>
          <w:szCs w:val="84"/>
          <w:lang w:val="en-US" w:eastAsia="zh-CN" w:bidi="ar-SA"/>
        </w:rPr>
      </w:pPr>
      <w:r>
        <w:rPr>
          <w:rFonts w:hint="eastAsia" w:ascii="黑体" w:eastAsia="黑体" w:cs="黑体" w:hAnsiTheme="minorHAnsi"/>
          <w:color w:val="000000"/>
          <w:kern w:val="0"/>
          <w:sz w:val="84"/>
          <w:szCs w:val="84"/>
          <w:lang w:val="en-US" w:eastAsia="zh-CN" w:bidi="ar-SA"/>
        </w:rPr>
        <w:t>第二部分</w:t>
      </w:r>
    </w:p>
    <w:p>
      <w:pPr>
        <w:jc w:val="center"/>
        <w:rPr>
          <w:rFonts w:hint="eastAsia" w:ascii="黑体" w:eastAsia="黑体" w:cs="黑体" w:hAnsiTheme="minorHAnsi"/>
          <w:color w:val="000000"/>
          <w:kern w:val="0"/>
          <w:sz w:val="84"/>
          <w:szCs w:val="84"/>
          <w:lang w:val="en-US" w:eastAsia="zh-CN" w:bidi="ar-SA"/>
        </w:rPr>
      </w:pPr>
    </w:p>
    <w:p>
      <w:pPr>
        <w:jc w:val="center"/>
        <w:rPr>
          <w:rFonts w:hint="eastAsia" w:ascii="黑体" w:eastAsia="黑体" w:cs="黑体" w:hAnsiTheme="minorHAnsi"/>
          <w:color w:val="000000"/>
          <w:kern w:val="0"/>
          <w:sz w:val="84"/>
          <w:szCs w:val="84"/>
          <w:lang w:val="en-US" w:eastAsia="zh-CN" w:bidi="ar-SA"/>
        </w:rPr>
      </w:pPr>
      <w:r>
        <w:rPr>
          <w:rFonts w:hint="eastAsia" w:ascii="黑体" w:eastAsia="黑体" w:cs="黑体" w:hAnsiTheme="minorHAnsi"/>
          <w:color w:val="000000"/>
          <w:kern w:val="0"/>
          <w:sz w:val="84"/>
          <w:szCs w:val="84"/>
          <w:lang w:val="en-US" w:eastAsia="zh-CN" w:bidi="ar-SA"/>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1440" w:right="1800" w:bottom="1440" w:left="1800" w:header="851" w:footer="992" w:gutter="0"/>
          <w:cols w:space="425" w:num="1"/>
          <w:docGrid w:type="lines" w:linePitch="312" w:charSpace="0"/>
        </w:sectPr>
      </w:pPr>
    </w:p>
    <w:p>
      <w:pPr>
        <w:jc w:val="both"/>
        <w:rPr>
          <w:rFonts w:hint="eastAsia" w:ascii="黑体" w:hAnsi="黑体" w:eastAsia="黑体"/>
          <w:sz w:val="28"/>
          <w:szCs w:val="28"/>
          <w:lang w:eastAsia="zh-CN"/>
        </w:rPr>
        <w:sectPr>
          <w:pgSz w:w="16838" w:h="11906" w:orient="landscape"/>
          <w:pgMar w:top="1797" w:right="1440" w:bottom="1797" w:left="1440" w:header="851" w:footer="992" w:gutter="0"/>
          <w:pgNumType w:fmt="decimal"/>
          <w:cols w:space="425" w:num="1"/>
          <w:docGrid w:type="linesAndChars" w:linePitch="312" w:charSpace="0"/>
        </w:sectPr>
      </w:pPr>
      <w:r>
        <w:rPr>
          <w:rFonts w:hint="eastAsia" w:ascii="黑体" w:hAnsi="黑体" w:eastAsia="黑体"/>
          <w:sz w:val="28"/>
          <w:szCs w:val="28"/>
          <w:lang w:eastAsia="zh-CN"/>
        </w:rPr>
        <w:drawing>
          <wp:inline distT="0" distB="0" distL="114300" distR="114300">
            <wp:extent cx="8836025" cy="5273040"/>
            <wp:effectExtent l="0" t="0" r="3175" b="3810"/>
            <wp:docPr id="8" name="图片 8" descr="2019年收入支出决算总表01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019年收入支出决算总表01表"/>
                    <pic:cNvPicPr>
                      <a:picLocks noChangeAspect="1"/>
                    </pic:cNvPicPr>
                  </pic:nvPicPr>
                  <pic:blipFill>
                    <a:blip r:embed="rId4"/>
                    <a:stretch>
                      <a:fillRect/>
                    </a:stretch>
                  </pic:blipFill>
                  <pic:spPr>
                    <a:xfrm>
                      <a:off x="0" y="0"/>
                      <a:ext cx="8836025" cy="5273040"/>
                    </a:xfrm>
                    <a:prstGeom prst="rect">
                      <a:avLst/>
                    </a:prstGeom>
                  </pic:spPr>
                </pic:pic>
              </a:graphicData>
            </a:graphic>
          </wp:inline>
        </w:drawing>
      </w:r>
    </w:p>
    <w:p>
      <w:pPr>
        <w:widowControl/>
        <w:rPr>
          <w:rFonts w:hint="eastAsia" w:ascii="Times New Roman" w:hAnsi="Times New Roman" w:eastAsia="方正小标宋_GBK" w:cs="Times New Roman"/>
          <w:color w:val="000000"/>
          <w:kern w:val="0"/>
          <w:sz w:val="36"/>
          <w:szCs w:val="36"/>
          <w:lang w:eastAsia="zh-CN"/>
        </w:rPr>
      </w:pPr>
    </w:p>
    <w:p>
      <w:pPr>
        <w:widowControl/>
        <w:rPr>
          <w:rFonts w:hint="eastAsia" w:ascii="Times New Roman" w:hAnsi="Times New Roman" w:eastAsia="方正小标宋_GBK" w:cs="Times New Roman"/>
          <w:color w:val="000000"/>
          <w:kern w:val="0"/>
          <w:sz w:val="36"/>
          <w:szCs w:val="36"/>
          <w:lang w:eastAsia="zh-CN"/>
        </w:rPr>
      </w:pPr>
      <w:r>
        <w:rPr>
          <w:rFonts w:hint="eastAsia" w:ascii="Times New Roman" w:hAnsi="Times New Roman" w:eastAsia="方正小标宋_GBK" w:cs="Times New Roman"/>
          <w:color w:val="000000"/>
          <w:kern w:val="0"/>
          <w:sz w:val="36"/>
          <w:szCs w:val="36"/>
          <w:lang w:eastAsia="zh-CN"/>
        </w:rPr>
        <w:drawing>
          <wp:inline distT="0" distB="0" distL="114300" distR="114300">
            <wp:extent cx="9769475" cy="4042410"/>
            <wp:effectExtent l="0" t="0" r="3175" b="15240"/>
            <wp:docPr id="12" name="图片 12" descr="2019年收入决算表02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019年收入决算表02表"/>
                    <pic:cNvPicPr>
                      <a:picLocks noChangeAspect="1"/>
                    </pic:cNvPicPr>
                  </pic:nvPicPr>
                  <pic:blipFill>
                    <a:blip r:embed="rId5"/>
                    <a:stretch>
                      <a:fillRect/>
                    </a:stretch>
                  </pic:blipFill>
                  <pic:spPr>
                    <a:xfrm>
                      <a:off x="0" y="0"/>
                      <a:ext cx="9769475" cy="4042410"/>
                    </a:xfrm>
                    <a:prstGeom prst="rect">
                      <a:avLst/>
                    </a:prstGeom>
                  </pic:spPr>
                </pic:pic>
              </a:graphicData>
            </a:graphic>
          </wp:inline>
        </w:drawing>
      </w:r>
    </w:p>
    <w:p>
      <w:pPr>
        <w:widowControl/>
        <w:jc w:val="center"/>
        <w:rPr>
          <w:rFonts w:ascii="Times New Roman" w:hAnsi="Times New Roman" w:eastAsia="方正小标宋_GBK" w:cs="Times New Roman"/>
          <w:color w:val="000000"/>
          <w:kern w:val="0"/>
          <w:sz w:val="36"/>
          <w:szCs w:val="36"/>
        </w:rPr>
      </w:pPr>
    </w:p>
    <w:p>
      <w:pPr>
        <w:widowControl/>
        <w:jc w:val="both"/>
        <w:rPr>
          <w:rFonts w:ascii="Times New Roman" w:hAnsi="Times New Roman" w:eastAsia="方正小标宋_GBK" w:cs="Times New Roman"/>
          <w:color w:val="000000"/>
          <w:kern w:val="0"/>
          <w:sz w:val="36"/>
          <w:szCs w:val="36"/>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drawing>
          <wp:inline distT="0" distB="0" distL="114300" distR="114300">
            <wp:extent cx="9768205" cy="4632960"/>
            <wp:effectExtent l="0" t="0" r="4445" b="15240"/>
            <wp:docPr id="13" name="图片 13" descr="2019年支出决算表03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019年支出决算表03表"/>
                    <pic:cNvPicPr>
                      <a:picLocks noChangeAspect="1"/>
                    </pic:cNvPicPr>
                  </pic:nvPicPr>
                  <pic:blipFill>
                    <a:blip r:embed="rId6"/>
                    <a:stretch>
                      <a:fillRect/>
                    </a:stretch>
                  </pic:blipFill>
                  <pic:spPr>
                    <a:xfrm>
                      <a:off x="0" y="0"/>
                      <a:ext cx="9768205" cy="4632960"/>
                    </a:xfrm>
                    <a:prstGeom prst="rect">
                      <a:avLst/>
                    </a:prstGeom>
                  </pic:spPr>
                </pic:pic>
              </a:graphicData>
            </a:graphic>
          </wp:inline>
        </w:drawing>
      </w:r>
      <w:r>
        <w:rPr>
          <w:rFonts w:ascii="Times New Roman" w:hAnsi="Times New Roman" w:eastAsia="仿宋_GB2312" w:cs="Times New Roman"/>
          <w:bCs/>
          <w:kern w:val="0"/>
          <w:szCs w:val="21"/>
        </w:rPr>
        <w:br w:type="page"/>
      </w:r>
    </w:p>
    <w:p>
      <w:pPr>
        <w:widowControl/>
        <w:jc w:val="left"/>
        <w:rPr>
          <w:rFonts w:hint="eastAsia" w:ascii="Times New Roman" w:hAnsi="Times New Roman" w:eastAsia="方正小标宋_GBK" w:cs="Times New Roman"/>
          <w:bCs/>
          <w:kern w:val="0"/>
          <w:szCs w:val="21"/>
          <w:lang w:eastAsia="zh-CN"/>
        </w:rPr>
      </w:pPr>
      <w:r>
        <w:rPr>
          <w:rFonts w:hint="eastAsia" w:ascii="Times New Roman" w:hAnsi="Times New Roman" w:eastAsia="方正小标宋_GBK" w:cs="Times New Roman"/>
          <w:bCs/>
          <w:kern w:val="0"/>
          <w:szCs w:val="21"/>
          <w:lang w:eastAsia="zh-CN"/>
        </w:rPr>
        <w:drawing>
          <wp:inline distT="0" distB="0" distL="114300" distR="114300">
            <wp:extent cx="9694545" cy="5991860"/>
            <wp:effectExtent l="0" t="0" r="1905" b="8890"/>
            <wp:docPr id="14" name="图片 14" descr="2019年财政拨款收入支出决算总表04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019年财政拨款收入支出决算总表04表"/>
                    <pic:cNvPicPr>
                      <a:picLocks noChangeAspect="1"/>
                    </pic:cNvPicPr>
                  </pic:nvPicPr>
                  <pic:blipFill>
                    <a:blip r:embed="rId7"/>
                    <a:stretch>
                      <a:fillRect/>
                    </a:stretch>
                  </pic:blipFill>
                  <pic:spPr>
                    <a:xfrm>
                      <a:off x="0" y="0"/>
                      <a:ext cx="9694545" cy="5991860"/>
                    </a:xfrm>
                    <a:prstGeom prst="rect">
                      <a:avLst/>
                    </a:prstGeom>
                  </pic:spPr>
                </pic:pic>
              </a:graphicData>
            </a:graphic>
          </wp:inline>
        </w:drawing>
      </w:r>
      <w:r>
        <w:rPr>
          <w:rFonts w:hint="eastAsia" w:ascii="Times New Roman" w:hAnsi="Times New Roman" w:eastAsia="方正小标宋_GBK" w:cs="Times New Roman"/>
          <w:bCs/>
          <w:kern w:val="0"/>
          <w:szCs w:val="21"/>
          <w:lang w:eastAsia="zh-CN"/>
        </w:rPr>
        <w:drawing>
          <wp:inline distT="0" distB="0" distL="114300" distR="114300">
            <wp:extent cx="9752965" cy="4724400"/>
            <wp:effectExtent l="0" t="0" r="635" b="0"/>
            <wp:docPr id="15" name="图片 15" descr="2019年一般公共预算财政拨款支出决算表05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2019年一般公共预算财政拨款支出决算表05表"/>
                    <pic:cNvPicPr>
                      <a:picLocks noChangeAspect="1"/>
                    </pic:cNvPicPr>
                  </pic:nvPicPr>
                  <pic:blipFill>
                    <a:blip r:embed="rId8"/>
                    <a:stretch>
                      <a:fillRect/>
                    </a:stretch>
                  </pic:blipFill>
                  <pic:spPr>
                    <a:xfrm>
                      <a:off x="0" y="0"/>
                      <a:ext cx="9752965" cy="4724400"/>
                    </a:xfrm>
                    <a:prstGeom prst="rect">
                      <a:avLst/>
                    </a:prstGeom>
                  </pic:spPr>
                </pic:pic>
              </a:graphicData>
            </a:graphic>
          </wp:inline>
        </w:drawing>
      </w:r>
    </w:p>
    <w:p>
      <w:pPr>
        <w:widowControl/>
        <w:jc w:val="left"/>
        <w:rPr>
          <w:rFonts w:hint="eastAsia" w:ascii="宋体" w:eastAsia="方正小标宋_GBK" w:cs="宋体"/>
          <w:kern w:val="0"/>
          <w:sz w:val="24"/>
          <w:szCs w:val="24"/>
          <w:lang w:eastAsia="zh-CN"/>
        </w:rPr>
      </w:pPr>
      <w:r>
        <w:rPr>
          <w:rFonts w:hint="eastAsia" w:ascii="宋体" w:eastAsia="方正小标宋_GBK" w:cs="宋体"/>
          <w:kern w:val="0"/>
          <w:sz w:val="24"/>
          <w:szCs w:val="24"/>
          <w:lang w:eastAsia="zh-CN"/>
        </w:rPr>
        <w:drawing>
          <wp:inline distT="0" distB="0" distL="114300" distR="114300">
            <wp:extent cx="9766935" cy="5932170"/>
            <wp:effectExtent l="0" t="0" r="5715" b="11430"/>
            <wp:docPr id="16" name="图片 16" descr="2019年一般公共预算财政拨款基本支出决算表06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2019年一般公共预算财政拨款基本支出决算表06表"/>
                    <pic:cNvPicPr>
                      <a:picLocks noChangeAspect="1"/>
                    </pic:cNvPicPr>
                  </pic:nvPicPr>
                  <pic:blipFill>
                    <a:blip r:embed="rId9"/>
                    <a:stretch>
                      <a:fillRect/>
                    </a:stretch>
                  </pic:blipFill>
                  <pic:spPr>
                    <a:xfrm>
                      <a:off x="0" y="0"/>
                      <a:ext cx="9766935" cy="5932170"/>
                    </a:xfrm>
                    <a:prstGeom prst="rect">
                      <a:avLst/>
                    </a:prstGeom>
                  </pic:spPr>
                </pic:pic>
              </a:graphicData>
            </a:graphic>
          </wp:inline>
        </w:drawing>
      </w:r>
    </w:p>
    <w:p>
      <w:pPr>
        <w:autoSpaceDE w:val="0"/>
        <w:autoSpaceDN w:val="0"/>
        <w:adjustRightInd w:val="0"/>
        <w:ind w:left="315" w:leftChars="150"/>
        <w:jc w:val="left"/>
        <w:rPr>
          <w:rFonts w:ascii="宋体" w:eastAsia="宋体" w:cs="宋体"/>
          <w:kern w:val="0"/>
          <w:sz w:val="24"/>
          <w:szCs w:val="24"/>
        </w:rPr>
      </w:pPr>
    </w:p>
    <w:p>
      <w:pPr>
        <w:widowControl/>
        <w:tabs>
          <w:tab w:val="left" w:pos="12612"/>
        </w:tabs>
        <w:jc w:val="left"/>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pStyle w:val="9"/>
        <w:rPr>
          <w:rFonts w:hint="eastAsia" w:eastAsia="黑体"/>
          <w:sz w:val="72"/>
          <w:szCs w:val="72"/>
          <w:lang w:eastAsia="zh-CN"/>
        </w:rPr>
      </w:pPr>
      <w:r>
        <w:rPr>
          <w:rFonts w:hint="eastAsia" w:eastAsia="黑体"/>
          <w:sz w:val="72"/>
          <w:szCs w:val="72"/>
          <w:lang w:eastAsia="zh-CN"/>
        </w:rPr>
        <w:drawing>
          <wp:inline distT="0" distB="0" distL="114300" distR="114300">
            <wp:extent cx="8853170" cy="1708150"/>
            <wp:effectExtent l="0" t="0" r="5080" b="6350"/>
            <wp:docPr id="2" name="图片 2" descr="微信图片_20200918180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918180205"/>
                    <pic:cNvPicPr>
                      <a:picLocks noChangeAspect="1"/>
                    </pic:cNvPicPr>
                  </pic:nvPicPr>
                  <pic:blipFill>
                    <a:blip r:embed="rId10"/>
                    <a:stretch>
                      <a:fillRect/>
                    </a:stretch>
                  </pic:blipFill>
                  <pic:spPr>
                    <a:xfrm>
                      <a:off x="0" y="0"/>
                      <a:ext cx="8853170" cy="1708150"/>
                    </a:xfrm>
                    <a:prstGeom prst="rect">
                      <a:avLst/>
                    </a:prstGeom>
                  </pic:spPr>
                </pic:pic>
              </a:graphicData>
            </a:graphic>
          </wp:inline>
        </w:drawing>
      </w:r>
    </w:p>
    <w:p>
      <w:pPr>
        <w:pStyle w:val="9"/>
        <w:rPr>
          <w:rFonts w:hint="eastAsia" w:eastAsia="黑体"/>
          <w:sz w:val="72"/>
          <w:szCs w:val="72"/>
          <w:lang w:eastAsia="zh-CN"/>
        </w:rPr>
      </w:pPr>
      <w:r>
        <w:rPr>
          <w:rFonts w:hint="eastAsia" w:eastAsia="黑体"/>
          <w:sz w:val="72"/>
          <w:szCs w:val="72"/>
          <w:lang w:eastAsia="zh-CN"/>
        </w:rPr>
        <w:drawing>
          <wp:inline distT="0" distB="0" distL="114300" distR="114300">
            <wp:extent cx="9772650" cy="3181350"/>
            <wp:effectExtent l="0" t="0" r="0" b="0"/>
            <wp:docPr id="18" name="图片 18" descr="2019年政府性基金预算财政拨款收入支出决算表08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2019年政府性基金预算财政拨款收入支出决算表08表"/>
                    <pic:cNvPicPr>
                      <a:picLocks noChangeAspect="1"/>
                    </pic:cNvPicPr>
                  </pic:nvPicPr>
                  <pic:blipFill>
                    <a:blip r:embed="rId11"/>
                    <a:stretch>
                      <a:fillRect/>
                    </a:stretch>
                  </pic:blipFill>
                  <pic:spPr>
                    <a:xfrm>
                      <a:off x="0" y="0"/>
                      <a:ext cx="9772650" cy="3181350"/>
                    </a:xfrm>
                    <a:prstGeom prst="rect">
                      <a:avLst/>
                    </a:prstGeom>
                  </pic:spPr>
                </pic:pic>
              </a:graphicData>
            </a:graphic>
          </wp:inline>
        </w:drawing>
      </w:r>
    </w:p>
    <w:p>
      <w:pPr>
        <w:widowControl/>
        <w:jc w:val="left"/>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r>
        <w:rPr>
          <w:rFonts w:ascii="Times New Roman" w:hAnsi="Times New Roman" w:eastAsia="黑体" w:cs="Times New Roman"/>
          <w:bCs/>
          <w:kern w:val="0"/>
          <w:sz w:val="32"/>
          <w:szCs w:val="32"/>
        </w:rPr>
        <w:br w:type="page"/>
      </w: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2019</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ind w:firstLine="640" w:firstLineChars="200"/>
        <w:rPr>
          <w:rFonts w:hAnsi="黑体"/>
          <w:b/>
          <w:sz w:val="32"/>
          <w:szCs w:val="32"/>
        </w:rPr>
      </w:pPr>
      <w:r>
        <w:rPr>
          <w:rFonts w:hint="eastAsia" w:hAnsi="黑体"/>
          <w:b/>
          <w:sz w:val="32"/>
          <w:szCs w:val="32"/>
        </w:rPr>
        <w:t>一、收入支出决算总体情况说明</w:t>
      </w:r>
    </w:p>
    <w:p>
      <w:pPr>
        <w:spacing w:line="360" w:lineRule="auto"/>
        <w:ind w:firstLine="640" w:firstLineChars="200"/>
        <w:rPr>
          <w:rFonts w:asciiTheme="minorEastAsia" w:hAnsiTheme="minorEastAsia" w:eastAsiaTheme="minorEastAsia"/>
          <w:sz w:val="32"/>
          <w:szCs w:val="32"/>
        </w:rPr>
      </w:pPr>
      <w:r>
        <w:rPr>
          <w:rFonts w:hint="eastAsia" w:cs="黑体" w:asciiTheme="minorEastAsia" w:hAnsiTheme="minorEastAsia" w:eastAsiaTheme="minorEastAsia"/>
          <w:color w:val="000000"/>
          <w:kern w:val="0"/>
          <w:sz w:val="32"/>
          <w:szCs w:val="32"/>
          <w:lang w:val="en-US" w:eastAsia="zh-CN" w:bidi="ar-SA"/>
        </w:rPr>
        <w:t>2019 年度本年收入为1616.35万元（实际拨款数为1677万元，差额606475.45元为2018年未使用资金，2018年底财政收回未结转至2019年使用），上年收入为1415万元，差异原因为本年的医保、养老保险单位部分都由本单位进行支出，不再由财政局代缴；本年支出为1959.28万元，上年支出为1409.23万元，差异原因除医保、养老保险单位部分由本单位进行支出外，本年度项目支出了326.57万元。</w:t>
      </w:r>
    </w:p>
    <w:p>
      <w:pPr>
        <w:pStyle w:val="9"/>
        <w:ind w:firstLine="640" w:firstLineChars="200"/>
        <w:rPr>
          <w:rFonts w:hAnsi="黑体"/>
          <w:b/>
          <w:sz w:val="32"/>
          <w:szCs w:val="32"/>
        </w:rPr>
      </w:pPr>
      <w:r>
        <w:rPr>
          <w:rFonts w:hint="eastAsia" w:hAnsi="黑体"/>
          <w:b/>
          <w:sz w:val="32"/>
          <w:szCs w:val="32"/>
        </w:rPr>
        <w:t>二、收入决算情况说明</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1616.35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其中：</w:t>
      </w:r>
      <w:r>
        <w:rPr>
          <w:rFonts w:hint="eastAsia" w:asciiTheme="minorEastAsia" w:hAnsiTheme="minorEastAsia" w:eastAsiaTheme="minorEastAsia"/>
          <w:sz w:val="32"/>
          <w:szCs w:val="32"/>
        </w:rPr>
        <w:t>财政拨款收入</w:t>
      </w:r>
      <w:r>
        <w:rPr>
          <w:rFonts w:hint="eastAsia" w:asciiTheme="minorEastAsia" w:hAnsiTheme="minorEastAsia" w:eastAsiaTheme="minorEastAsia"/>
          <w:sz w:val="32"/>
          <w:szCs w:val="32"/>
          <w:lang w:val="en-US" w:eastAsia="zh-CN"/>
        </w:rPr>
        <w:t>1616.35万元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；上级补助收入</w:t>
      </w:r>
      <w:r>
        <w:rPr>
          <w:rFonts w:hint="eastAsia" w:asciiTheme="minorEastAsia" w:hAnsiTheme="minorEastAsia" w:eastAsiaTheme="minorEastAsia"/>
          <w:sz w:val="32"/>
          <w:szCs w:val="32"/>
          <w:lang w:val="en-US" w:eastAsia="zh-CN"/>
        </w:rPr>
        <w:t>0万元，占0%；事业收入0万元，占0%；经营收入0万元，占0%；附属单位上缴收入0万元，占0%；其他收入0万元，占0%。</w:t>
      </w:r>
    </w:p>
    <w:p>
      <w:pPr>
        <w:pStyle w:val="9"/>
        <w:ind w:firstLine="640" w:firstLineChars="200"/>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1959.28</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1632.7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83.33</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326.57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16.67</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ind w:firstLine="640" w:firstLineChars="200"/>
        <w:rPr>
          <w:rFonts w:hAnsi="黑体"/>
          <w:b/>
          <w:sz w:val="32"/>
          <w:szCs w:val="32"/>
        </w:rPr>
      </w:pPr>
      <w:r>
        <w:rPr>
          <w:rFonts w:hint="eastAsia" w:hAnsi="黑体"/>
          <w:b/>
          <w:sz w:val="32"/>
          <w:szCs w:val="32"/>
        </w:rPr>
        <w:t>四、财政拨款收入支出决算总体情况说明</w:t>
      </w:r>
    </w:p>
    <w:p>
      <w:pPr>
        <w:pStyle w:val="9"/>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ascii="仿宋" w:hAnsi="仿宋" w:eastAsia="仿宋" w:cs="仿宋"/>
          <w:sz w:val="30"/>
          <w:szCs w:val="30"/>
        </w:rPr>
        <w:t>201</w:t>
      </w:r>
      <w:r>
        <w:rPr>
          <w:rFonts w:hint="eastAsia" w:asciiTheme="minorEastAsia" w:hAnsiTheme="minorEastAsia" w:eastAsiaTheme="minorEastAsia"/>
          <w:sz w:val="32"/>
          <w:szCs w:val="32"/>
        </w:rPr>
        <w:t>9年度财政拨款收入</w:t>
      </w:r>
      <w:r>
        <w:rPr>
          <w:rFonts w:hint="eastAsia" w:asciiTheme="minorEastAsia" w:hAnsiTheme="minorEastAsia" w:eastAsiaTheme="minorEastAsia"/>
          <w:sz w:val="32"/>
          <w:szCs w:val="32"/>
          <w:lang w:val="en-US" w:eastAsia="zh-CN"/>
        </w:rPr>
        <w:t>1616.35</w:t>
      </w:r>
      <w:r>
        <w:rPr>
          <w:rFonts w:hint="eastAsia" w:asciiTheme="minorEastAsia" w:hAnsiTheme="minorEastAsia" w:eastAsiaTheme="minorEastAsia"/>
          <w:sz w:val="32"/>
          <w:szCs w:val="32"/>
        </w:rPr>
        <w:t>万元，财政拨款支出</w:t>
      </w:r>
      <w:r>
        <w:rPr>
          <w:rFonts w:hint="eastAsia" w:asciiTheme="minorEastAsia" w:hAnsiTheme="minorEastAsia" w:eastAsiaTheme="minorEastAsia"/>
          <w:sz w:val="32"/>
          <w:szCs w:val="32"/>
          <w:lang w:val="en-US" w:eastAsia="zh-CN"/>
        </w:rPr>
        <w:t>1959.28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上年收入为1415万元，差异原因为本年的医保、养老保险单位部分都由本单位进行支出，不再由财政局代缴；本年支出为1959.28万元，上年支出为1409.23万元，差异原因除医保、养老保险单位部分由本单位进行支出外，本年度项目支出了326.57万元。</w:t>
      </w:r>
    </w:p>
    <w:p>
      <w:pPr>
        <w:pStyle w:val="9"/>
        <w:ind w:firstLine="640" w:firstLineChars="200"/>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2019年度财政拨款支出</w:t>
      </w:r>
      <w:r>
        <w:rPr>
          <w:rFonts w:hint="eastAsia" w:asciiTheme="minorEastAsia" w:hAnsiTheme="minorEastAsia" w:eastAsiaTheme="minorEastAsia"/>
          <w:sz w:val="32"/>
          <w:szCs w:val="32"/>
          <w:lang w:val="en-US" w:eastAsia="zh-CN"/>
        </w:rPr>
        <w:t>1959.28</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%，与2018年相比，财政拨款支出增加</w:t>
      </w:r>
      <w:r>
        <w:rPr>
          <w:rFonts w:hint="eastAsia" w:asciiTheme="minorEastAsia" w:hAnsiTheme="minorEastAsia" w:eastAsiaTheme="minorEastAsia"/>
          <w:sz w:val="32"/>
          <w:szCs w:val="32"/>
          <w:lang w:val="en-US" w:eastAsia="zh-CN"/>
        </w:rPr>
        <w:t>550.05</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39.03</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2019年度</w:t>
      </w:r>
      <w:r>
        <w:rPr>
          <w:rFonts w:hint="eastAsia" w:asciiTheme="minorEastAsia" w:hAnsiTheme="minorEastAsia" w:eastAsiaTheme="minorEastAsia"/>
          <w:sz w:val="32"/>
          <w:szCs w:val="32"/>
        </w:rPr>
        <w:t>项目支出了326.57万元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医保、养老保险单位部分由本单位进行支出</w:t>
      </w:r>
      <w:r>
        <w:rPr>
          <w:rFonts w:hint="eastAsia" w:asciiTheme="minorEastAsia" w:hAnsiTheme="minorEastAsia" w:eastAsiaTheme="minorEastAsia"/>
          <w:sz w:val="32"/>
          <w:szCs w:val="32"/>
          <w:lang w:eastAsia="zh-CN"/>
        </w:rPr>
        <w:t>。</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w:t>
      </w:r>
      <w:r>
        <w:rPr>
          <w:rFonts w:hint="eastAsia" w:asciiTheme="minorEastAsia" w:hAnsiTheme="minorEastAsia" w:eastAsiaTheme="minorEastAsia"/>
          <w:sz w:val="32"/>
          <w:szCs w:val="32"/>
          <w:lang w:val="en-US" w:eastAsia="zh-CN"/>
        </w:rPr>
        <w:t>1959.28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全部</w:t>
      </w:r>
      <w:r>
        <w:rPr>
          <w:rFonts w:hint="eastAsia" w:asciiTheme="minorEastAsia" w:hAnsiTheme="minorEastAsia" w:eastAsiaTheme="minorEastAsia"/>
          <w:sz w:val="32"/>
          <w:szCs w:val="32"/>
        </w:rPr>
        <w:t>用于一般公共服务（类）支出，占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%；其中社会保障和就业支出</w:t>
      </w:r>
      <w:r>
        <w:rPr>
          <w:rFonts w:hint="eastAsia" w:asciiTheme="minorEastAsia" w:hAnsiTheme="minorEastAsia" w:eastAsiaTheme="minorEastAsia"/>
          <w:sz w:val="32"/>
          <w:szCs w:val="32"/>
          <w:lang w:val="en-US" w:eastAsia="zh-CN"/>
        </w:rPr>
        <w:t>123.72</w:t>
      </w:r>
      <w:r>
        <w:rPr>
          <w:rFonts w:hint="eastAsia" w:asciiTheme="minorEastAsia" w:hAnsiTheme="minorEastAsia" w:eastAsiaTheme="minorEastAsia"/>
          <w:sz w:val="32"/>
          <w:szCs w:val="32"/>
        </w:rPr>
        <w:t>万元，占财政拨款支出的</w:t>
      </w:r>
      <w:r>
        <w:rPr>
          <w:rFonts w:hint="eastAsia" w:asciiTheme="minorEastAsia" w:hAnsiTheme="minorEastAsia" w:eastAsiaTheme="minorEastAsia"/>
          <w:sz w:val="32"/>
          <w:szCs w:val="32"/>
          <w:lang w:val="en-US" w:eastAsia="zh-CN"/>
        </w:rPr>
        <w:t>6.32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卫生健康支出</w:t>
      </w:r>
      <w:r>
        <w:rPr>
          <w:rFonts w:hint="eastAsia" w:asciiTheme="minorEastAsia" w:hAnsiTheme="minorEastAsia" w:eastAsiaTheme="minorEastAsia"/>
          <w:sz w:val="32"/>
          <w:szCs w:val="32"/>
          <w:lang w:val="en-US" w:eastAsia="zh-CN"/>
        </w:rPr>
        <w:t>51.38万元，占</w:t>
      </w:r>
      <w:r>
        <w:rPr>
          <w:rFonts w:hint="eastAsia" w:asciiTheme="minorEastAsia" w:hAnsiTheme="minorEastAsia" w:eastAsiaTheme="minorEastAsia"/>
          <w:sz w:val="32"/>
          <w:szCs w:val="32"/>
        </w:rPr>
        <w:t>财政拨款支出的</w:t>
      </w:r>
      <w:r>
        <w:rPr>
          <w:rFonts w:hint="eastAsia" w:asciiTheme="minorEastAsia" w:hAnsiTheme="minorEastAsia" w:eastAsiaTheme="minorEastAsia"/>
          <w:sz w:val="32"/>
          <w:szCs w:val="32"/>
          <w:lang w:val="en-US" w:eastAsia="zh-CN"/>
        </w:rPr>
        <w:t>2.62%</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国土海洋气象等支出</w:t>
      </w:r>
      <w:r>
        <w:rPr>
          <w:rFonts w:hint="eastAsia" w:asciiTheme="minorEastAsia" w:hAnsiTheme="minorEastAsia" w:eastAsiaTheme="minorEastAsia"/>
          <w:sz w:val="32"/>
          <w:szCs w:val="32"/>
          <w:lang w:val="en-US" w:eastAsia="zh-CN"/>
        </w:rPr>
        <w:t>1784.17</w:t>
      </w:r>
      <w:r>
        <w:rPr>
          <w:rFonts w:hint="eastAsia" w:asciiTheme="minorEastAsia" w:hAnsiTheme="minorEastAsia" w:eastAsiaTheme="minorEastAsia"/>
          <w:sz w:val="32"/>
          <w:szCs w:val="32"/>
        </w:rPr>
        <w:t>万元，占财政拨款支出的9</w:t>
      </w:r>
      <w:r>
        <w:rPr>
          <w:rFonts w:hint="eastAsia" w:asciiTheme="minorEastAsia" w:hAnsiTheme="minorEastAsia" w:eastAsiaTheme="minorEastAsia"/>
          <w:sz w:val="32"/>
          <w:szCs w:val="32"/>
          <w:lang w:val="en-US" w:eastAsia="zh-CN"/>
        </w:rPr>
        <w:t>1.06</w:t>
      </w:r>
      <w:r>
        <w:rPr>
          <w:rFonts w:hint="eastAsia" w:asciiTheme="minorEastAsia" w:hAnsiTheme="minorEastAsia" w:eastAsiaTheme="minorEastAsia"/>
          <w:sz w:val="32"/>
          <w:szCs w:val="32"/>
        </w:rPr>
        <w:t>% 。</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snapToGrid w:val="0"/>
        <w:spacing w:line="360" w:lineRule="auto"/>
        <w:ind w:left="210" w:leftChars="100"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2019年度财政拨款支出年初预算数为</w:t>
      </w:r>
      <w:r>
        <w:rPr>
          <w:rFonts w:hint="eastAsia" w:ascii="仿宋" w:hAnsi="仿宋" w:eastAsia="仿宋"/>
          <w:sz w:val="32"/>
          <w:szCs w:val="32"/>
        </w:rPr>
        <w:t>1461.52</w:t>
      </w:r>
      <w:r>
        <w:rPr>
          <w:rFonts w:hint="eastAsia" w:asciiTheme="minorEastAsia" w:hAnsiTheme="minorEastAsia" w:eastAsiaTheme="minorEastAsia"/>
          <w:sz w:val="32"/>
          <w:szCs w:val="32"/>
        </w:rPr>
        <w:t>万元，支出决算数为</w:t>
      </w:r>
      <w:r>
        <w:rPr>
          <w:rFonts w:hint="eastAsia" w:ascii="仿宋" w:hAnsi="仿宋" w:eastAsia="仿宋"/>
          <w:sz w:val="32"/>
          <w:szCs w:val="32"/>
        </w:rPr>
        <w:t>1</w:t>
      </w:r>
      <w:r>
        <w:rPr>
          <w:rFonts w:hint="eastAsia" w:ascii="仿宋" w:hAnsi="仿宋" w:eastAsia="仿宋"/>
          <w:sz w:val="32"/>
          <w:szCs w:val="32"/>
          <w:lang w:val="en-US" w:eastAsia="zh-CN"/>
        </w:rPr>
        <w:t>959.28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134.06</w:t>
      </w:r>
      <w:r>
        <w:rPr>
          <w:rFonts w:hint="eastAsia" w:asciiTheme="minorEastAsia" w:hAnsiTheme="minorEastAsia" w:eastAsiaTheme="minorEastAsia"/>
          <w:sz w:val="32"/>
          <w:szCs w:val="32"/>
        </w:rPr>
        <w:t>%，其中：工资福利支出预算</w:t>
      </w:r>
      <w:r>
        <w:rPr>
          <w:rFonts w:hint="eastAsia" w:asciiTheme="minorEastAsia" w:hAnsiTheme="minorEastAsia" w:eastAsiaTheme="minorEastAsia"/>
          <w:sz w:val="32"/>
          <w:szCs w:val="32"/>
          <w:lang w:val="en-US" w:eastAsia="zh-CN"/>
        </w:rPr>
        <w:t>996.88</w:t>
      </w:r>
      <w:r>
        <w:rPr>
          <w:rFonts w:hint="eastAsia" w:asciiTheme="minorEastAsia" w:hAnsiTheme="minorEastAsia" w:eastAsiaTheme="minorEastAsia"/>
          <w:sz w:val="32"/>
          <w:szCs w:val="32"/>
        </w:rPr>
        <w:t>万元，实际完成</w:t>
      </w:r>
      <w:r>
        <w:rPr>
          <w:rFonts w:hint="eastAsia" w:asciiTheme="minorEastAsia" w:hAnsiTheme="minorEastAsia" w:eastAsiaTheme="minorEastAsia"/>
          <w:sz w:val="32"/>
          <w:szCs w:val="32"/>
          <w:lang w:val="en-US" w:eastAsia="zh-CN"/>
        </w:rPr>
        <w:t>1418.58</w:t>
      </w:r>
      <w:r>
        <w:rPr>
          <w:rFonts w:hint="eastAsia" w:asciiTheme="minorEastAsia" w:hAnsiTheme="minorEastAsia" w:eastAsiaTheme="minorEastAsia"/>
          <w:sz w:val="32"/>
          <w:szCs w:val="32"/>
        </w:rPr>
        <w:t>万元；商品和服务支出预算</w:t>
      </w:r>
      <w:r>
        <w:rPr>
          <w:rFonts w:hint="eastAsia" w:asciiTheme="minorEastAsia" w:hAnsiTheme="minorEastAsia" w:eastAsiaTheme="minorEastAsia"/>
          <w:sz w:val="32"/>
          <w:szCs w:val="32"/>
          <w:lang w:val="en-US" w:eastAsia="zh-CN"/>
        </w:rPr>
        <w:t>464.64</w:t>
      </w:r>
      <w:r>
        <w:rPr>
          <w:rFonts w:hint="eastAsia" w:asciiTheme="minorEastAsia" w:hAnsiTheme="minorEastAsia" w:eastAsiaTheme="minorEastAsia"/>
          <w:sz w:val="32"/>
          <w:szCs w:val="32"/>
        </w:rPr>
        <w:t>万元,实际完成</w:t>
      </w:r>
      <w:r>
        <w:rPr>
          <w:rFonts w:hint="eastAsia" w:asciiTheme="minorEastAsia" w:hAnsiTheme="minorEastAsia" w:eastAsiaTheme="minorEastAsia"/>
          <w:sz w:val="32"/>
          <w:szCs w:val="32"/>
          <w:lang w:val="en-US" w:eastAsia="zh-CN"/>
        </w:rPr>
        <w:t>527.37</w:t>
      </w:r>
      <w:r>
        <w:rPr>
          <w:rFonts w:hint="eastAsia" w:asciiTheme="minorEastAsia" w:hAnsiTheme="minorEastAsia" w:eastAsiaTheme="minorEastAsia"/>
          <w:sz w:val="32"/>
          <w:szCs w:val="32"/>
        </w:rPr>
        <w:t>万元。上年有财政拨款结转和结余4</w:t>
      </w:r>
      <w:r>
        <w:rPr>
          <w:rFonts w:hint="eastAsia" w:asciiTheme="minorEastAsia" w:hAnsiTheme="minorEastAsia" w:eastAsiaTheme="minorEastAsia"/>
          <w:sz w:val="32"/>
          <w:szCs w:val="32"/>
          <w:lang w:val="en-US" w:eastAsia="zh-CN"/>
        </w:rPr>
        <w:t>43.2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差异原因为</w:t>
      </w:r>
      <w:r>
        <w:rPr>
          <w:rFonts w:hint="eastAsia" w:asciiTheme="minorEastAsia" w:hAnsiTheme="minorEastAsia" w:eastAsiaTheme="minorEastAsia"/>
          <w:sz w:val="32"/>
          <w:szCs w:val="32"/>
        </w:rPr>
        <w:t>医保、养老保险单位部分由本单位进行支出，本年度项目支出了326.57万元。</w:t>
      </w:r>
    </w:p>
    <w:p>
      <w:pPr>
        <w:snapToGrid w:val="0"/>
        <w:spacing w:line="360" w:lineRule="auto"/>
        <w:ind w:left="210" w:leftChars="100"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具体到项级科目的情况：</w:t>
      </w:r>
    </w:p>
    <w:p>
      <w:pPr>
        <w:snapToGrid w:val="0"/>
        <w:spacing w:line="360" w:lineRule="auto"/>
        <w:ind w:left="210" w:leftChars="100"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行政事业单位离退休</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机关事业单位基本养老保险缴费支出</w:t>
      </w:r>
      <w:r>
        <w:rPr>
          <w:rFonts w:hint="eastAsia" w:asciiTheme="minorEastAsia" w:hAnsiTheme="minorEastAsia" w:eastAsiaTheme="minorEastAsia"/>
          <w:sz w:val="32"/>
          <w:szCs w:val="32"/>
        </w:rPr>
        <w:t>（项）支出决算</w:t>
      </w:r>
      <w:r>
        <w:rPr>
          <w:rFonts w:hint="eastAsia" w:asciiTheme="minorEastAsia" w:hAnsiTheme="minorEastAsia" w:eastAsiaTheme="minorEastAsia"/>
          <w:sz w:val="32"/>
          <w:szCs w:val="32"/>
          <w:lang w:val="en-US" w:eastAsia="zh-CN"/>
        </w:rPr>
        <w:t>111.37</w:t>
      </w:r>
      <w:r>
        <w:rPr>
          <w:rFonts w:hint="eastAsia" w:asciiTheme="minorEastAsia" w:hAnsiTheme="minorEastAsia" w:eastAsiaTheme="minorEastAsia"/>
          <w:sz w:val="32"/>
          <w:szCs w:val="32"/>
        </w:rPr>
        <w:t>万元，年初没有安排预算，主要是养老保险单位部分由本单位进行支出。</w:t>
      </w:r>
    </w:p>
    <w:p>
      <w:pPr>
        <w:snapToGrid w:val="0"/>
        <w:spacing w:line="360" w:lineRule="auto"/>
        <w:ind w:left="210" w:leftChars="100"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行政事业单位离退休</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其他行政事业单位离退休支出</w:t>
      </w:r>
      <w:r>
        <w:rPr>
          <w:rFonts w:hint="eastAsia" w:asciiTheme="minorEastAsia" w:hAnsiTheme="minorEastAsia" w:eastAsiaTheme="minorEastAsia"/>
          <w:sz w:val="32"/>
          <w:szCs w:val="32"/>
        </w:rPr>
        <w:t>（项）支出决算</w:t>
      </w:r>
      <w:r>
        <w:rPr>
          <w:rFonts w:hint="eastAsia" w:asciiTheme="minorEastAsia" w:hAnsiTheme="minorEastAsia" w:eastAsiaTheme="minorEastAsia"/>
          <w:sz w:val="32"/>
          <w:szCs w:val="32"/>
          <w:lang w:val="en-US" w:eastAsia="zh-CN"/>
        </w:rPr>
        <w:t>4.61</w:t>
      </w:r>
      <w:r>
        <w:rPr>
          <w:rFonts w:hint="eastAsia" w:asciiTheme="minorEastAsia" w:hAnsiTheme="minorEastAsia" w:eastAsiaTheme="minorEastAsia"/>
          <w:sz w:val="32"/>
          <w:szCs w:val="32"/>
        </w:rPr>
        <w:t>万元，年初没有安排预算，主要是</w:t>
      </w:r>
      <w:r>
        <w:rPr>
          <w:rFonts w:hint="eastAsia" w:asciiTheme="minorEastAsia" w:hAnsiTheme="minorEastAsia" w:eastAsiaTheme="minorEastAsia"/>
          <w:sz w:val="32"/>
          <w:szCs w:val="32"/>
          <w:lang w:eastAsia="zh-CN"/>
        </w:rPr>
        <w:t>退休人员费用</w:t>
      </w:r>
      <w:r>
        <w:rPr>
          <w:rFonts w:hint="eastAsia" w:asciiTheme="minorEastAsia" w:hAnsiTheme="minorEastAsia" w:eastAsiaTheme="minorEastAsia"/>
          <w:sz w:val="32"/>
          <w:szCs w:val="32"/>
        </w:rPr>
        <w:t>。</w:t>
      </w:r>
    </w:p>
    <w:p>
      <w:pPr>
        <w:snapToGrid w:val="0"/>
        <w:spacing w:line="360" w:lineRule="auto"/>
        <w:ind w:left="210" w:leftChars="100"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）社会保障和就业支出（类）抚恤（款）死亡抚恤（项）支出决算</w:t>
      </w:r>
      <w:r>
        <w:rPr>
          <w:rFonts w:hint="eastAsia" w:asciiTheme="minorEastAsia" w:hAnsiTheme="minorEastAsia" w:eastAsiaTheme="minorEastAsia"/>
          <w:sz w:val="32"/>
          <w:szCs w:val="32"/>
          <w:lang w:val="en-US" w:eastAsia="zh-CN"/>
        </w:rPr>
        <w:t>7.75</w:t>
      </w:r>
      <w:r>
        <w:rPr>
          <w:rFonts w:hint="eastAsia" w:asciiTheme="minorEastAsia" w:hAnsiTheme="minorEastAsia" w:eastAsiaTheme="minorEastAsia"/>
          <w:sz w:val="32"/>
          <w:szCs w:val="32"/>
        </w:rPr>
        <w:t>万元，年初没有安排预算，主要是单位职工死亡抚恤。</w:t>
      </w:r>
    </w:p>
    <w:p>
      <w:pPr>
        <w:snapToGrid w:val="0"/>
        <w:spacing w:line="360" w:lineRule="auto"/>
        <w:ind w:left="210" w:leftChars="100"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lang w:eastAsia="zh-CN"/>
        </w:rPr>
        <w:t>卫生健康支出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行政事业单位医疗</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事业单位医疗</w:t>
      </w:r>
      <w:r>
        <w:rPr>
          <w:rFonts w:hint="eastAsia" w:asciiTheme="minorEastAsia" w:hAnsiTheme="minorEastAsia" w:eastAsiaTheme="minorEastAsia"/>
          <w:sz w:val="32"/>
          <w:szCs w:val="32"/>
        </w:rPr>
        <w:t>（项）支出决算</w:t>
      </w:r>
      <w:r>
        <w:rPr>
          <w:rFonts w:hint="eastAsia" w:asciiTheme="minorEastAsia" w:hAnsiTheme="minorEastAsia" w:eastAsiaTheme="minorEastAsia"/>
          <w:sz w:val="32"/>
          <w:szCs w:val="32"/>
          <w:lang w:val="en-US" w:eastAsia="zh-CN"/>
        </w:rPr>
        <w:t>51.38</w:t>
      </w:r>
      <w:r>
        <w:rPr>
          <w:rFonts w:hint="eastAsia" w:asciiTheme="minorEastAsia" w:hAnsiTheme="minorEastAsia" w:eastAsiaTheme="minorEastAsia"/>
          <w:sz w:val="32"/>
          <w:szCs w:val="32"/>
        </w:rPr>
        <w:t>万元，年初没有安排预算，主要是</w:t>
      </w:r>
      <w:r>
        <w:rPr>
          <w:rFonts w:hint="eastAsia" w:asciiTheme="minorEastAsia" w:hAnsiTheme="minorEastAsia"/>
          <w:sz w:val="32"/>
          <w:szCs w:val="32"/>
          <w:lang w:eastAsia="zh-CN"/>
        </w:rPr>
        <w:t>医疗</w:t>
      </w:r>
      <w:r>
        <w:rPr>
          <w:rFonts w:hint="eastAsia" w:asciiTheme="minorEastAsia" w:hAnsiTheme="minorEastAsia" w:eastAsiaTheme="minorEastAsia"/>
          <w:sz w:val="32"/>
          <w:szCs w:val="32"/>
        </w:rPr>
        <w:t>保险单位部分由本单位进行支出</w:t>
      </w:r>
      <w:r>
        <w:rPr>
          <w:rFonts w:ascii="微软雅黑" w:hAnsi="微软雅黑" w:cs="宋体"/>
          <w:color w:val="333333"/>
          <w:kern w:val="0"/>
          <w:szCs w:val="21"/>
        </w:rPr>
        <w:t>。</w:t>
      </w:r>
    </w:p>
    <w:p>
      <w:pPr>
        <w:pStyle w:val="9"/>
        <w:ind w:firstLine="640" w:firstLineChars="200"/>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2019年度财政拨款基本支出</w:t>
      </w:r>
      <w:r>
        <w:rPr>
          <w:rFonts w:hint="eastAsia" w:asciiTheme="minorEastAsia" w:hAnsiTheme="minorEastAsia" w:eastAsiaTheme="minorEastAsia"/>
          <w:sz w:val="32"/>
          <w:szCs w:val="32"/>
          <w:lang w:val="en-US" w:eastAsia="zh-CN"/>
        </w:rPr>
        <w:t>1632.7</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1431.9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87.7</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、绩效工资、机关事业单位基本养老保险缴费、职工基本医疗保险缴费、其他工资福利支出、对个人和家庭的补助、抚恤金、生活补助、其他对个人和家庭的补助</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200.8</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12.3</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eastAsia="zh-CN"/>
        </w:rPr>
        <w:t>、邮电费、差旅费、维修（护）费、租赁费、会议费、培训费、公务接待费、劳务费、工会经费、公务用车运行维护费、其他商品和服务支出</w:t>
      </w:r>
      <w:r>
        <w:rPr>
          <w:rFonts w:hint="eastAsia" w:asciiTheme="minorEastAsia" w:hAnsiTheme="minorEastAsia" w:eastAsiaTheme="minorEastAsia"/>
          <w:sz w:val="32"/>
          <w:szCs w:val="32"/>
        </w:rPr>
        <w:t>。</w:t>
      </w:r>
    </w:p>
    <w:p>
      <w:pPr>
        <w:pStyle w:val="9"/>
        <w:ind w:firstLine="640" w:firstLineChars="200"/>
        <w:rPr>
          <w:rFonts w:hAnsi="黑体"/>
          <w:b/>
          <w:sz w:val="32"/>
          <w:szCs w:val="32"/>
        </w:rPr>
      </w:pPr>
      <w:r>
        <w:rPr>
          <w:rFonts w:hint="eastAsia" w:hAnsi="黑体"/>
          <w:b/>
          <w:sz w:val="32"/>
          <w:szCs w:val="32"/>
        </w:rPr>
        <w:t>七、一般公共预算财政拨款三公经费支出决算情况说明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23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7.43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32.3</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3.79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25.27</w:t>
      </w:r>
      <w:r>
        <w:rPr>
          <w:rFonts w:hint="eastAsia" w:asciiTheme="minorEastAsia" w:hAnsiTheme="minorEastAsia" w:eastAsiaTheme="minorEastAsia"/>
          <w:sz w:val="32"/>
          <w:szCs w:val="32"/>
        </w:rPr>
        <w:t>%，决算数小于年初预算数的主要原因是厉行节约，与上年相比减少</w:t>
      </w:r>
      <w:r>
        <w:rPr>
          <w:rFonts w:hint="eastAsia" w:asciiTheme="minorEastAsia" w:hAnsiTheme="minorEastAsia" w:eastAsiaTheme="minorEastAsia"/>
          <w:sz w:val="32"/>
          <w:szCs w:val="32"/>
          <w:lang w:val="en-US" w:eastAsia="zh-CN"/>
        </w:rPr>
        <w:t>0.89</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19</w:t>
      </w:r>
      <w:r>
        <w:rPr>
          <w:rFonts w:hint="eastAsia" w:asciiTheme="minorEastAsia" w:hAnsiTheme="minorEastAsia" w:eastAsiaTheme="minorEastAsia"/>
          <w:sz w:val="32"/>
          <w:szCs w:val="32"/>
        </w:rPr>
        <w:t>%,减少的主要原因是依据</w:t>
      </w:r>
      <w:r>
        <w:rPr>
          <w:rFonts w:hint="eastAsia" w:asciiTheme="minorEastAsia" w:hAnsiTheme="minorEastAsia" w:eastAsiaTheme="minorEastAsia"/>
          <w:sz w:val="32"/>
          <w:szCs w:val="32"/>
          <w:lang w:eastAsia="zh-CN"/>
        </w:rPr>
        <w:t>中央八项规定</w:t>
      </w:r>
      <w:r>
        <w:rPr>
          <w:rFonts w:hint="eastAsia" w:asciiTheme="minorEastAsia" w:hAnsiTheme="minorEastAsia" w:eastAsiaTheme="minorEastAsia"/>
          <w:sz w:val="32"/>
          <w:szCs w:val="32"/>
        </w:rPr>
        <w:t>和厉行节约的原则，从严控制公务接待，减少不必要接待，压缩接待开支。</w:t>
      </w:r>
    </w:p>
    <w:p>
      <w:pPr>
        <w:snapToGrid w:val="0"/>
        <w:spacing w:line="36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3.63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45.38</w:t>
      </w:r>
      <w:r>
        <w:rPr>
          <w:rFonts w:hint="eastAsia" w:asciiTheme="minorEastAsia" w:hAnsiTheme="minorEastAsia" w:eastAsiaTheme="minorEastAsia"/>
          <w:sz w:val="32"/>
          <w:szCs w:val="32"/>
        </w:rPr>
        <w:t>%，决算数小于年初预算数的主要原因是</w:t>
      </w:r>
      <w:r>
        <w:rPr>
          <w:rFonts w:hint="eastAsia" w:cs="黑体" w:asciiTheme="minorEastAsia" w:hAnsiTheme="minorEastAsia" w:eastAsiaTheme="minorEastAsia"/>
          <w:color w:val="000000"/>
          <w:kern w:val="0"/>
          <w:sz w:val="32"/>
          <w:szCs w:val="32"/>
          <w:lang w:val="en-US" w:eastAsia="zh-CN" w:bidi="ar-SA"/>
        </w:rPr>
        <w:t>厉行节约，与上年相比减少0.99万元，减少21.43%,减少的主要原因是是依据</w:t>
      </w:r>
      <w:r>
        <w:rPr>
          <w:rFonts w:hint="eastAsia" w:cs="黑体" w:asciiTheme="minorEastAsia" w:hAnsiTheme="minorEastAsia"/>
          <w:color w:val="000000"/>
          <w:kern w:val="0"/>
          <w:sz w:val="32"/>
          <w:szCs w:val="32"/>
          <w:lang w:val="en-US" w:eastAsia="zh-CN" w:bidi="ar-SA"/>
        </w:rPr>
        <w:t>中央</w:t>
      </w:r>
      <w:bookmarkStart w:id="0" w:name="_GoBack"/>
      <w:bookmarkEnd w:id="0"/>
      <w:r>
        <w:rPr>
          <w:rFonts w:hint="eastAsia" w:cs="黑体" w:asciiTheme="minorEastAsia" w:hAnsiTheme="minorEastAsia"/>
          <w:color w:val="000000"/>
          <w:kern w:val="0"/>
          <w:sz w:val="32"/>
          <w:szCs w:val="32"/>
          <w:lang w:val="en-US" w:eastAsia="zh-CN" w:bidi="ar-SA"/>
        </w:rPr>
        <w:t>八项规定</w:t>
      </w:r>
      <w:r>
        <w:rPr>
          <w:rFonts w:hint="eastAsia" w:cs="黑体" w:asciiTheme="minorEastAsia" w:hAnsiTheme="minorEastAsia" w:eastAsiaTheme="minorEastAsia"/>
          <w:color w:val="000000"/>
          <w:kern w:val="0"/>
          <w:sz w:val="32"/>
          <w:szCs w:val="32"/>
          <w:lang w:val="en-US" w:eastAsia="zh-CN" w:bidi="ar-SA"/>
        </w:rPr>
        <w:t>和厉行节约的原则，减少市内不必要的出车安排。</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2019年度“三公”经费财政拨款支出决算中，公务接待费支出决算</w:t>
      </w:r>
      <w:r>
        <w:rPr>
          <w:rFonts w:hint="eastAsia" w:asciiTheme="minorEastAsia" w:hAnsiTheme="minorEastAsia" w:eastAsiaTheme="minorEastAsia"/>
          <w:sz w:val="32"/>
          <w:szCs w:val="32"/>
          <w:lang w:val="en-US" w:eastAsia="zh-CN"/>
        </w:rPr>
        <w:t>3.79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51</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3.63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49</w:t>
      </w:r>
      <w:r>
        <w:rPr>
          <w:rFonts w:hint="eastAsia" w:asciiTheme="minorEastAsia" w:hAnsiTheme="minorEastAsia" w:eastAsiaTheme="minorEastAsia"/>
          <w:sz w:val="32"/>
          <w:szCs w:val="32"/>
        </w:rPr>
        <w:t>%。其中：</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1、因公出国（境）费支出预算为0万元，支出决算为0万元，因公出国（境）费用支出</w:t>
      </w:r>
      <w:r>
        <w:rPr>
          <w:rFonts w:hint="eastAsia" w:asciiTheme="minorEastAsia" w:hAnsiTheme="minorEastAsia" w:eastAsiaTheme="minorEastAsia"/>
          <w:sz w:val="32"/>
          <w:szCs w:val="32"/>
          <w:lang w:val="en-US" w:eastAsia="zh-CN"/>
        </w:rPr>
        <w:t>0万元，</w:t>
      </w:r>
      <w:r>
        <w:rPr>
          <w:rFonts w:hint="eastAsia" w:asciiTheme="minorEastAsia" w:hAnsiTheme="minorEastAsia" w:eastAsiaTheme="minorEastAsia"/>
          <w:sz w:val="32"/>
          <w:szCs w:val="32"/>
        </w:rPr>
        <w:t>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，与上年度持平，主要原因是严控经费开支。</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3.79</w:t>
      </w:r>
      <w:r>
        <w:rPr>
          <w:rFonts w:hint="eastAsia" w:asciiTheme="minorEastAsia" w:hAnsiTheme="minorEastAsia" w:eastAsiaTheme="minorEastAsia"/>
          <w:sz w:val="32"/>
          <w:szCs w:val="32"/>
        </w:rPr>
        <w:t>万元，全年共接待</w:t>
      </w:r>
      <w:r>
        <w:rPr>
          <w:rFonts w:hint="eastAsia" w:asciiTheme="minorEastAsia" w:hAnsiTheme="minorEastAsia" w:eastAsiaTheme="minorEastAsia"/>
          <w:sz w:val="32"/>
          <w:szCs w:val="32"/>
          <w:lang w:eastAsia="zh-CN"/>
        </w:rPr>
        <w:t>批次</w:t>
      </w:r>
      <w:r>
        <w:rPr>
          <w:rFonts w:hint="eastAsia" w:asciiTheme="minorEastAsia" w:hAnsiTheme="minorEastAsia" w:eastAsiaTheme="minorEastAsia"/>
          <w:sz w:val="32"/>
          <w:szCs w:val="32"/>
          <w:lang w:val="en-US" w:eastAsia="zh-CN"/>
        </w:rPr>
        <w:t>55</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395</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业务学习、信息交流</w:t>
      </w:r>
      <w:r>
        <w:rPr>
          <w:rFonts w:hint="eastAsia" w:asciiTheme="minorEastAsia" w:hAnsiTheme="minorEastAsia" w:eastAsiaTheme="minorEastAsia"/>
          <w:sz w:val="32"/>
          <w:szCs w:val="32"/>
        </w:rPr>
        <w:t>发生的接待支出。</w:t>
      </w:r>
    </w:p>
    <w:p>
      <w:pPr>
        <w:ind w:firstLine="640" w:firstLineChars="20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3.63</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3.63</w:t>
      </w:r>
      <w:r>
        <w:rPr>
          <w:rFonts w:hint="eastAsia" w:asciiTheme="minorEastAsia" w:hAnsiTheme="minorEastAsia"/>
          <w:sz w:val="32"/>
          <w:szCs w:val="32"/>
        </w:rPr>
        <w:t>万元，主要是</w:t>
      </w:r>
      <w:r>
        <w:rPr>
          <w:rFonts w:hint="eastAsia" w:asciiTheme="minorEastAsia" w:hAnsiTheme="minorEastAsia"/>
          <w:sz w:val="32"/>
          <w:szCs w:val="32"/>
          <w:lang w:eastAsia="zh-CN"/>
        </w:rPr>
        <w:t>车辆的维修费和过路费</w:t>
      </w:r>
      <w:r>
        <w:rPr>
          <w:rFonts w:hint="eastAsia" w:asciiTheme="minorEastAsia" w:hAnsiTheme="minorEastAsia"/>
          <w:sz w:val="32"/>
          <w:szCs w:val="32"/>
        </w:rPr>
        <w:t>支出，截止2019年12月31日，我单位开支财政拨款的公务用车保有量为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9"/>
        <w:ind w:firstLine="640" w:firstLineChars="200"/>
        <w:rPr>
          <w:rFonts w:hAnsi="黑体"/>
          <w:b/>
          <w:sz w:val="32"/>
          <w:szCs w:val="32"/>
        </w:rPr>
      </w:pPr>
      <w:r>
        <w:rPr>
          <w:rFonts w:hint="eastAsia" w:hAnsi="黑体"/>
          <w:b/>
          <w:sz w:val="32"/>
          <w:szCs w:val="32"/>
        </w:rPr>
        <w:t>八、政府性基金预算收入支出决算情况</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eastAsia="zh-CN"/>
        </w:rPr>
        <w:t>本单位</w:t>
      </w:r>
      <w:r>
        <w:rPr>
          <w:rFonts w:hint="eastAsia" w:asciiTheme="minorEastAsia" w:hAnsiTheme="minorEastAsia" w:eastAsiaTheme="minorEastAsia"/>
          <w:sz w:val="32"/>
          <w:szCs w:val="32"/>
          <w:lang w:val="en-US" w:eastAsia="zh-CN"/>
        </w:rPr>
        <w:t>2019年度</w:t>
      </w:r>
      <w:r>
        <w:rPr>
          <w:rFonts w:hint="eastAsia" w:asciiTheme="minorEastAsia" w:hAnsiTheme="minorEastAsia" w:eastAsiaTheme="minorEastAsia"/>
          <w:sz w:val="32"/>
          <w:szCs w:val="32"/>
          <w:lang w:eastAsia="zh-CN"/>
        </w:rPr>
        <w:t>无政府性基金收支。其</w:t>
      </w:r>
      <w:r>
        <w:rPr>
          <w:rFonts w:hint="eastAsia" w:asciiTheme="minorEastAsia" w:hAnsiTheme="minorEastAsia" w:eastAsiaTheme="minorEastAsia"/>
          <w:sz w:val="32"/>
          <w:szCs w:val="32"/>
        </w:rPr>
        <w:t>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9"/>
        <w:ind w:firstLine="640" w:firstLineChars="200"/>
        <w:rPr>
          <w:rFonts w:hint="eastAsia" w:asciiTheme="minorEastAsia" w:hAnsiTheme="minorEastAsia" w:eastAsiaTheme="minorEastAsia"/>
          <w:sz w:val="32"/>
          <w:szCs w:val="32"/>
        </w:rPr>
      </w:pPr>
      <w:r>
        <w:rPr>
          <w:rFonts w:hint="eastAsia" w:hAnsi="黑体"/>
          <w:b/>
          <w:sz w:val="32"/>
          <w:szCs w:val="32"/>
        </w:rPr>
        <w:t>九、</w:t>
      </w:r>
      <w:r>
        <w:rPr>
          <w:rFonts w:hint="eastAsia" w:hAnsi="黑体"/>
          <w:b/>
          <w:sz w:val="32"/>
          <w:szCs w:val="32"/>
          <w:lang w:eastAsia="zh-CN"/>
        </w:rPr>
        <w:t>重点绩效评价结果等</w:t>
      </w:r>
      <w:r>
        <w:rPr>
          <w:rFonts w:hint="eastAsia" w:hAnsi="黑体"/>
          <w:b/>
          <w:sz w:val="32"/>
          <w:szCs w:val="32"/>
        </w:rPr>
        <w:t>预算绩效情况说明</w:t>
      </w:r>
    </w:p>
    <w:p>
      <w:pPr>
        <w:spacing w:line="360" w:lineRule="auto"/>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1.概述项目绩效目标完成情况。</w:t>
      </w:r>
    </w:p>
    <w:p>
      <w:pPr>
        <w:spacing w:line="360" w:lineRule="auto"/>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今年本单位共上报了5个项目，分别是不动产系统维保项目、短信群发平台升级及服务项目、不动产登记相关数据共享服务平台项目、不动产服务器日志审计.数据库审计.CA认证系统及设备项目、不动产登记档案收集整理保管和数字化处理项目；本年度实际完成项目2个（不动产系统维保项目、短信群发平台升级及服务项目），本年度已启动但尚未达到付款条件的项目1个（不动产登记相关数据共享服务平台项目），尚未启动项目2个（不动产登记档案收集整理保管和数字化处理项目和不动产服务器日志审计.数据库审计.CA认证系统及设备项目）。</w:t>
      </w:r>
    </w:p>
    <w:p>
      <w:pPr>
        <w:spacing w:line="360" w:lineRule="auto"/>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2.概述本单位整体支出绩效目标实现情况。</w:t>
      </w:r>
    </w:p>
    <w:p>
      <w:pPr>
        <w:spacing w:line="360" w:lineRule="auto"/>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本年较好的完成了不动产登记相关工作，群众满意度较高；成本费用控制在年初预算范围内；非税收入增收370.55万元已超额完成任务（年初非税收入计划为375万元）， 得益于今年工作效率的提高，缩短办理时间，积极处理历史遗留问题和房地产市场回暖。</w:t>
      </w:r>
    </w:p>
    <w:p>
      <w:pPr>
        <w:spacing w:line="360" w:lineRule="auto"/>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color w:val="000000"/>
          <w:kern w:val="0"/>
          <w:sz w:val="32"/>
          <w:szCs w:val="32"/>
          <w:lang w:val="en-US" w:eastAsia="zh-CN" w:bidi="ar-SA"/>
        </w:rPr>
        <w:t>3.</w:t>
      </w:r>
      <w:r>
        <w:rPr>
          <w:rFonts w:hint="eastAsia" w:cs="黑体" w:asciiTheme="minorEastAsia" w:hAnsiTheme="minorEastAsia" w:eastAsiaTheme="minorEastAsia"/>
          <w:color w:val="000000"/>
          <w:kern w:val="0"/>
          <w:sz w:val="32"/>
          <w:szCs w:val="32"/>
          <w:lang w:val="en-US" w:eastAsia="zh-CN" w:bidi="ar-SA"/>
        </w:rPr>
        <w:t>当年预算执行及绩效管理中存在问题、原因及改进措施。</w:t>
      </w:r>
    </w:p>
    <w:p>
      <w:pPr>
        <w:spacing w:line="360" w:lineRule="auto"/>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(1)对预算绩效管理认识不够</w:t>
      </w:r>
    </w:p>
    <w:p>
      <w:pPr>
        <w:spacing w:line="360" w:lineRule="auto"/>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单位领导对全面预算绩效管理的认识不够，常常导致对该项工作的重视和支持不够。没有认真领会预算绩效管理对单位内部控制的重要性，认识不到预算绩效管理对实现单位发展目标、发挥单位社会职能的重要性。因而，不重视预算绩效管理，致使预算绩效管理目标盲目，指标体系失准，最终造成预算执行困难。有些单位只重视资金预算，不重视绩效管理，认为预算仅是资金申请，只是财务部门的工作，造成单位预算绩效管理工作开展困难或流于形式。</w:t>
      </w:r>
    </w:p>
    <w:p>
      <w:pPr>
        <w:spacing w:line="360" w:lineRule="auto"/>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(2)制定和编制预算绩效管理指标的能力不足</w:t>
      </w:r>
    </w:p>
    <w:p>
      <w:pPr>
        <w:spacing w:line="360" w:lineRule="auto"/>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预算审批的原则是“谁分配资金，谁审核目标，谁批复预算，谁批复目标”。单位机构设置少，单位职能和业务相对单一，相关人员在做项目预算绩效管理时，有时对项目建设内容和程序把握不准，相应的绩效指标设计不到位，监管部门对高度专业的技术项目的绩效指标审批，也难以科学把控。对这类问题，由于没有制度化的机制和程序，会导致预算绩效管理不能达到预期效果。</w:t>
      </w:r>
    </w:p>
    <w:p>
      <w:pPr>
        <w:pStyle w:val="9"/>
        <w:ind w:firstLine="640" w:firstLineChars="200"/>
        <w:rPr>
          <w:rFonts w:hAnsi="黑体"/>
          <w:b/>
          <w:sz w:val="32"/>
          <w:szCs w:val="32"/>
        </w:rPr>
      </w:pPr>
      <w:r>
        <w:rPr>
          <w:rFonts w:hint="eastAsia" w:hAnsi="黑体"/>
          <w:b/>
          <w:sz w:val="32"/>
          <w:szCs w:val="32"/>
        </w:rPr>
        <w:t>十、其他重要事项情况说明</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ind w:firstLine="640" w:firstLineChars="200"/>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本部门2019 年度机关运行经费支出</w:t>
      </w:r>
      <w:r>
        <w:rPr>
          <w:rFonts w:hint="eastAsia" w:cs="黑体" w:asciiTheme="minorEastAsia" w:hAnsiTheme="minorEastAsia"/>
          <w:color w:val="000000"/>
          <w:kern w:val="0"/>
          <w:sz w:val="32"/>
          <w:szCs w:val="32"/>
          <w:lang w:val="en-US" w:eastAsia="zh-CN"/>
        </w:rPr>
        <w:t>200.8</w:t>
      </w:r>
      <w:r>
        <w:rPr>
          <w:rFonts w:hint="eastAsia" w:cs="黑体" w:asciiTheme="minorEastAsia" w:hAnsiTheme="minorEastAsia"/>
          <w:color w:val="000000"/>
          <w:kern w:val="0"/>
          <w:sz w:val="32"/>
          <w:szCs w:val="32"/>
        </w:rPr>
        <w:t>万元，比年初预算数</w:t>
      </w:r>
      <w:r>
        <w:rPr>
          <w:rFonts w:hint="eastAsia" w:cs="黑体" w:asciiTheme="minorEastAsia" w:hAnsiTheme="minorEastAsia"/>
          <w:color w:val="000000"/>
          <w:kern w:val="0"/>
          <w:sz w:val="32"/>
          <w:szCs w:val="32"/>
          <w:lang w:eastAsia="zh-CN"/>
        </w:rPr>
        <w:t>减少</w:t>
      </w:r>
      <w:r>
        <w:rPr>
          <w:rFonts w:hint="eastAsia" w:cs="黑体" w:asciiTheme="minorEastAsia" w:hAnsiTheme="minorEastAsia"/>
          <w:color w:val="000000"/>
          <w:kern w:val="0"/>
          <w:sz w:val="32"/>
          <w:szCs w:val="32"/>
          <w:lang w:val="en-US" w:eastAsia="zh-CN"/>
        </w:rPr>
        <w:t>263.84</w:t>
      </w:r>
      <w:r>
        <w:rPr>
          <w:rFonts w:hint="eastAsia"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eastAsia="zh-CN"/>
        </w:rPr>
        <w:t>减少</w:t>
      </w:r>
      <w:r>
        <w:rPr>
          <w:rFonts w:hint="eastAsia" w:cs="黑体" w:asciiTheme="minorEastAsia" w:hAnsiTheme="minorEastAsia"/>
          <w:color w:val="000000"/>
          <w:kern w:val="0"/>
          <w:sz w:val="32"/>
          <w:szCs w:val="32"/>
          <w:lang w:val="en-US" w:eastAsia="zh-CN"/>
        </w:rPr>
        <w:t>56.78</w:t>
      </w:r>
      <w:r>
        <w:rPr>
          <w:rFonts w:hint="eastAsia" w:cs="黑体" w:asciiTheme="minorEastAsia" w:hAnsiTheme="minorEastAsia"/>
          <w:color w:val="000000"/>
          <w:kern w:val="0"/>
          <w:sz w:val="32"/>
          <w:szCs w:val="32"/>
        </w:rPr>
        <w:t>%。主要原因是</w:t>
      </w:r>
      <w:r>
        <w:rPr>
          <w:rFonts w:hint="eastAsia" w:cs="黑体" w:asciiTheme="minorEastAsia" w:hAnsiTheme="minorEastAsia"/>
          <w:color w:val="000000"/>
          <w:kern w:val="0"/>
          <w:sz w:val="32"/>
          <w:szCs w:val="32"/>
          <w:lang w:eastAsia="zh-CN"/>
        </w:rPr>
        <w:t>年初预算数中包含了用于项目的支出。</w:t>
      </w:r>
    </w:p>
    <w:p>
      <w:pPr>
        <w:ind w:firstLine="640" w:firstLineChars="200"/>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（二）一般性支出情况</w:t>
      </w:r>
    </w:p>
    <w:p>
      <w:pPr>
        <w:ind w:firstLine="640" w:firstLineChars="200"/>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2019年本部门开支会议费</w:t>
      </w:r>
      <w:r>
        <w:rPr>
          <w:rFonts w:hint="eastAsia" w:cs="黑体" w:asciiTheme="minorEastAsia" w:hAnsiTheme="minorEastAsia"/>
          <w:color w:val="000000"/>
          <w:kern w:val="0"/>
          <w:sz w:val="32"/>
          <w:szCs w:val="32"/>
          <w:lang w:val="en-US" w:eastAsia="zh-CN"/>
        </w:rPr>
        <w:t>0.65</w:t>
      </w:r>
      <w:r>
        <w:rPr>
          <w:rFonts w:hint="eastAsia" w:cs="黑体" w:asciiTheme="minorEastAsia" w:hAnsiTheme="minorEastAsia"/>
          <w:color w:val="000000"/>
          <w:kern w:val="0"/>
          <w:sz w:val="32"/>
          <w:szCs w:val="32"/>
        </w:rPr>
        <w:t>万元，用于召开</w:t>
      </w:r>
      <w:r>
        <w:rPr>
          <w:rFonts w:hint="eastAsia" w:cs="黑体" w:asciiTheme="minorEastAsia" w:hAnsiTheme="minorEastAsia"/>
          <w:color w:val="000000"/>
          <w:kern w:val="0"/>
          <w:sz w:val="32"/>
          <w:szCs w:val="32"/>
          <w:lang w:eastAsia="zh-CN"/>
        </w:rPr>
        <w:t>“树形象</w:t>
      </w:r>
      <w:r>
        <w:rPr>
          <w:rFonts w:hint="eastAsia" w:cs="黑体" w:asciiTheme="minorEastAsia" w:hAnsiTheme="minorEastAsia"/>
          <w:color w:val="000000"/>
          <w:kern w:val="0"/>
          <w:sz w:val="32"/>
          <w:szCs w:val="32"/>
          <w:lang w:val="en-US" w:eastAsia="zh-CN"/>
        </w:rPr>
        <w:t>.鸣警钟</w:t>
      </w:r>
      <w:r>
        <w:rPr>
          <w:rFonts w:hint="eastAsia" w:cs="黑体" w:asciiTheme="minorEastAsia" w:hAnsiTheme="minorEastAsia"/>
          <w:color w:val="000000"/>
          <w:kern w:val="0"/>
          <w:sz w:val="32"/>
          <w:szCs w:val="32"/>
          <w:lang w:eastAsia="zh-CN"/>
        </w:rPr>
        <w:t>”培训</w:t>
      </w:r>
      <w:r>
        <w:rPr>
          <w:rFonts w:hint="eastAsia" w:cs="黑体" w:asciiTheme="minorEastAsia" w:hAnsiTheme="minorEastAsia"/>
          <w:color w:val="000000"/>
          <w:kern w:val="0"/>
          <w:sz w:val="32"/>
          <w:szCs w:val="32"/>
        </w:rPr>
        <w:t>会议，人数</w:t>
      </w:r>
      <w:r>
        <w:rPr>
          <w:rFonts w:hint="eastAsia" w:cs="黑体" w:asciiTheme="minorEastAsia" w:hAnsiTheme="minorEastAsia"/>
          <w:color w:val="000000"/>
          <w:kern w:val="0"/>
          <w:sz w:val="32"/>
          <w:szCs w:val="32"/>
          <w:lang w:val="en-US" w:eastAsia="zh-CN"/>
        </w:rPr>
        <w:t>201</w:t>
      </w:r>
      <w:r>
        <w:rPr>
          <w:rFonts w:hint="eastAsia" w:cs="黑体" w:asciiTheme="minorEastAsia" w:hAnsiTheme="minorEastAsia"/>
          <w:color w:val="000000"/>
          <w:kern w:val="0"/>
          <w:sz w:val="32"/>
          <w:szCs w:val="32"/>
        </w:rPr>
        <w:t>人，内容为</w:t>
      </w:r>
      <w:r>
        <w:rPr>
          <w:rFonts w:hint="eastAsia" w:cs="黑体" w:asciiTheme="minorEastAsia" w:hAnsiTheme="minorEastAsia"/>
          <w:color w:val="000000"/>
          <w:kern w:val="0"/>
          <w:sz w:val="32"/>
          <w:szCs w:val="32"/>
          <w:lang w:eastAsia="zh-CN"/>
        </w:rPr>
        <w:t>强化我市不动产登记队伍建设，不断压缩登记办理时限、提高日常工作效率，</w:t>
      </w:r>
      <w:r>
        <w:rPr>
          <w:rFonts w:hint="eastAsia" w:cs="黑体" w:asciiTheme="minorEastAsia" w:hAnsiTheme="minorEastAsia"/>
          <w:color w:val="000000"/>
          <w:kern w:val="0"/>
          <w:sz w:val="32"/>
          <w:szCs w:val="32"/>
          <w:lang w:val="en-US" w:eastAsia="zh-CN"/>
        </w:rPr>
        <w:t>培训预算为1.3万元</w:t>
      </w:r>
      <w:r>
        <w:rPr>
          <w:rFonts w:hint="eastAsia" w:cs="黑体" w:asciiTheme="minorEastAsia" w:hAnsiTheme="minorEastAsia"/>
          <w:color w:val="000000"/>
          <w:kern w:val="0"/>
          <w:sz w:val="32"/>
          <w:szCs w:val="32"/>
        </w:rPr>
        <w:t>。开支培训费</w:t>
      </w:r>
      <w:r>
        <w:rPr>
          <w:rFonts w:hint="eastAsia" w:cs="黑体" w:asciiTheme="minorEastAsia" w:hAnsiTheme="minorEastAsia"/>
          <w:color w:val="000000"/>
          <w:kern w:val="0"/>
          <w:sz w:val="32"/>
          <w:szCs w:val="32"/>
          <w:lang w:val="en-US" w:eastAsia="zh-CN"/>
        </w:rPr>
        <w:t>4.09</w:t>
      </w:r>
      <w:r>
        <w:rPr>
          <w:rFonts w:hint="eastAsia" w:cs="黑体" w:asciiTheme="minorEastAsia" w:hAnsiTheme="minorEastAsia"/>
          <w:color w:val="000000"/>
          <w:kern w:val="0"/>
          <w:sz w:val="32"/>
          <w:szCs w:val="32"/>
        </w:rPr>
        <w:t>万元，用于开展</w:t>
      </w:r>
      <w:r>
        <w:rPr>
          <w:rFonts w:hint="eastAsia" w:cs="黑体" w:asciiTheme="minorEastAsia" w:hAnsiTheme="minorEastAsia"/>
          <w:color w:val="000000"/>
          <w:kern w:val="0"/>
          <w:sz w:val="32"/>
          <w:szCs w:val="32"/>
          <w:lang w:eastAsia="zh-CN"/>
        </w:rPr>
        <w:t>不动产登记业务</w:t>
      </w:r>
      <w:r>
        <w:rPr>
          <w:rFonts w:hint="eastAsia" w:cs="黑体" w:asciiTheme="minorEastAsia" w:hAnsiTheme="minorEastAsia"/>
          <w:color w:val="000000"/>
          <w:kern w:val="0"/>
          <w:sz w:val="32"/>
          <w:szCs w:val="32"/>
        </w:rPr>
        <w:t>培训，人数</w:t>
      </w:r>
      <w:r>
        <w:rPr>
          <w:rFonts w:hint="eastAsia" w:cs="黑体" w:asciiTheme="minorEastAsia" w:hAnsiTheme="minorEastAsia"/>
          <w:color w:val="000000"/>
          <w:kern w:val="0"/>
          <w:sz w:val="32"/>
          <w:szCs w:val="32"/>
          <w:lang w:val="en-US" w:eastAsia="zh-CN"/>
        </w:rPr>
        <w:t>160</w:t>
      </w:r>
      <w:r>
        <w:rPr>
          <w:rFonts w:hint="eastAsia" w:cs="黑体" w:asciiTheme="minorEastAsia" w:hAnsiTheme="minorEastAsia"/>
          <w:color w:val="000000"/>
          <w:kern w:val="0"/>
          <w:sz w:val="32"/>
          <w:szCs w:val="32"/>
        </w:rPr>
        <w:t>人，内容为</w:t>
      </w:r>
      <w:r>
        <w:rPr>
          <w:rFonts w:hint="eastAsia" w:cs="黑体" w:asciiTheme="minorEastAsia" w:hAnsiTheme="minorEastAsia"/>
          <w:color w:val="000000"/>
          <w:kern w:val="0"/>
          <w:sz w:val="32"/>
          <w:szCs w:val="32"/>
          <w:lang w:eastAsia="zh-CN"/>
        </w:rPr>
        <w:t>不动产相关法律、法规学习及工作关键问题交流；培训计划为在</w:t>
      </w:r>
      <w:r>
        <w:rPr>
          <w:rFonts w:hint="eastAsia" w:cs="黑体" w:asciiTheme="minorEastAsia" w:hAnsiTheme="minorEastAsia"/>
          <w:color w:val="000000"/>
          <w:kern w:val="0"/>
          <w:sz w:val="32"/>
          <w:szCs w:val="32"/>
          <w:lang w:val="en-US" w:eastAsia="zh-CN"/>
        </w:rPr>
        <w:t>2日内完成对不动产工作人员的业务培训，培训预算为5.39万元</w:t>
      </w:r>
      <w:r>
        <w:rPr>
          <w:rFonts w:hint="eastAsia" w:cs="黑体" w:asciiTheme="minorEastAsia" w:hAnsiTheme="minorEastAsia"/>
          <w:color w:val="000000"/>
          <w:kern w:val="0"/>
          <w:sz w:val="32"/>
          <w:szCs w:val="32"/>
        </w:rPr>
        <w:t>。</w:t>
      </w:r>
    </w:p>
    <w:p>
      <w:pPr>
        <w:numPr>
          <w:ilvl w:val="0"/>
          <w:numId w:val="2"/>
        </w:numPr>
        <w:ind w:firstLine="640" w:firstLineChars="200"/>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政府采购支出情况</w:t>
      </w:r>
    </w:p>
    <w:p>
      <w:pPr>
        <w:numPr>
          <w:ilvl w:val="0"/>
          <w:numId w:val="0"/>
        </w:numPr>
        <w:rPr>
          <w:rFonts w:hint="eastAsia" w:cs="黑体" w:asciiTheme="minorEastAsia" w:hAnsiTheme="minorEastAsia"/>
          <w:b w:val="0"/>
          <w:bCs/>
          <w:color w:val="000000"/>
          <w:kern w:val="0"/>
          <w:sz w:val="32"/>
          <w:szCs w:val="32"/>
          <w:lang w:val="en-US" w:eastAsia="zh-CN"/>
        </w:rPr>
      </w:pPr>
      <w:r>
        <w:rPr>
          <w:rFonts w:hint="eastAsia" w:cs="黑体" w:asciiTheme="minorEastAsia" w:hAnsiTheme="minorEastAsia"/>
          <w:b/>
          <w:color w:val="000000"/>
          <w:kern w:val="0"/>
          <w:sz w:val="32"/>
          <w:szCs w:val="32"/>
          <w:lang w:val="en-US" w:eastAsia="zh-CN"/>
        </w:rPr>
        <w:t xml:space="preserve">      </w:t>
      </w:r>
      <w:r>
        <w:rPr>
          <w:rFonts w:hint="eastAsia" w:cs="黑体" w:asciiTheme="minorEastAsia" w:hAnsiTheme="minorEastAsia"/>
          <w:b w:val="0"/>
          <w:bCs/>
          <w:color w:val="000000"/>
          <w:kern w:val="0"/>
          <w:sz w:val="32"/>
          <w:szCs w:val="32"/>
          <w:lang w:val="en-US" w:eastAsia="zh-CN"/>
        </w:rPr>
        <w:t xml:space="preserve"> 本部门2019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widowControl/>
        <w:shd w:val="clear" w:color="auto" w:fill="FFFFFF"/>
        <w:spacing w:before="100" w:beforeAutospacing="1" w:after="120" w:line="480" w:lineRule="auto"/>
        <w:ind w:firstLine="480"/>
        <w:jc w:val="left"/>
        <w:rPr>
          <w:rFonts w:cs="黑体" w:asciiTheme="minorEastAsia" w:hAnsiTheme="minorEastAsia"/>
          <w:i/>
          <w:color w:val="FF0000"/>
          <w:kern w:val="0"/>
          <w:sz w:val="32"/>
          <w:szCs w:val="32"/>
        </w:rPr>
      </w:pPr>
      <w:r>
        <w:rPr>
          <w:rFonts w:hint="eastAsia" w:cs="黑体" w:asciiTheme="minorEastAsia" w:hAnsiTheme="minorEastAsia"/>
          <w:color w:val="000000"/>
          <w:kern w:val="0"/>
          <w:sz w:val="32"/>
          <w:szCs w:val="32"/>
          <w:lang w:eastAsia="zh-CN"/>
        </w:rPr>
        <w:t>本单位201</w:t>
      </w:r>
      <w:r>
        <w:rPr>
          <w:rFonts w:hint="eastAsia" w:cs="黑体" w:asciiTheme="minorEastAsia" w:hAnsiTheme="minorEastAsia"/>
          <w:color w:val="000000"/>
          <w:kern w:val="0"/>
          <w:sz w:val="32"/>
          <w:szCs w:val="32"/>
          <w:lang w:val="en-US" w:eastAsia="zh-CN"/>
        </w:rPr>
        <w:t>9</w:t>
      </w:r>
      <w:r>
        <w:rPr>
          <w:rFonts w:hint="eastAsia" w:cs="黑体" w:asciiTheme="minorEastAsia" w:hAnsiTheme="minorEastAsia"/>
          <w:color w:val="000000"/>
          <w:kern w:val="0"/>
          <w:sz w:val="32"/>
          <w:szCs w:val="32"/>
          <w:lang w:eastAsia="zh-CN"/>
        </w:rPr>
        <w:t>年度没有进行政府采购，因每项采购的金额没有达到进行政府采购的金额，因此只进行了单位内部的采购程序。</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eastAsia="zh-CN"/>
        </w:rPr>
        <w:t>（四）</w:t>
      </w:r>
      <w:r>
        <w:rPr>
          <w:rFonts w:hint="eastAsia" w:cs="黑体" w:asciiTheme="minorEastAsia" w:hAnsiTheme="minorEastAsia"/>
          <w:b/>
          <w:color w:val="000000"/>
          <w:kern w:val="0"/>
          <w:sz w:val="32"/>
          <w:szCs w:val="32"/>
        </w:rPr>
        <w:t>国有资产占用情况</w:t>
      </w:r>
    </w:p>
    <w:p>
      <w:pPr>
        <w:numPr>
          <w:ilvl w:val="0"/>
          <w:numId w:val="0"/>
        </w:numPr>
        <w:ind w:firstLine="640" w:firstLineChars="200"/>
      </w:pPr>
      <w:r>
        <w:rPr>
          <w:rFonts w:hint="eastAsia" w:cs="黑体" w:asciiTheme="minorEastAsia" w:hAnsiTheme="minorEastAsia"/>
          <w:color w:val="000000"/>
          <w:kern w:val="0"/>
          <w:sz w:val="32"/>
          <w:szCs w:val="32"/>
        </w:rPr>
        <w:t>截至2019年12月31日，本单位共有车辆</w:t>
      </w:r>
      <w:r>
        <w:rPr>
          <w:rFonts w:hint="eastAsia" w:cs="黑体" w:asciiTheme="minorEastAsia" w:hAnsiTheme="minorEastAsia"/>
          <w:color w:val="000000"/>
          <w:kern w:val="0"/>
          <w:sz w:val="32"/>
          <w:szCs w:val="32"/>
          <w:lang w:val="en-US" w:eastAsia="zh-CN"/>
        </w:rPr>
        <w:t>2</w:t>
      </w:r>
      <w:r>
        <w:rPr>
          <w:rFonts w:hint="eastAsia" w:cs="黑体" w:asciiTheme="minorEastAsia" w:hAnsiTheme="minorEastAsia"/>
          <w:color w:val="000000"/>
          <w:kern w:val="0"/>
          <w:sz w:val="32"/>
          <w:szCs w:val="32"/>
        </w:rPr>
        <w:t>辆，</w:t>
      </w:r>
      <w:r>
        <w:rPr>
          <w:rFonts w:hint="eastAsia" w:cs="黑体" w:asciiTheme="minorEastAsia" w:hAnsiTheme="minorEastAsia"/>
          <w:color w:val="000000"/>
          <w:kern w:val="0"/>
          <w:sz w:val="32"/>
          <w:szCs w:val="32"/>
          <w:lang w:eastAsia="zh-CN"/>
        </w:rPr>
        <w:t>其中车牌号码为湘M1GT98车辆为</w:t>
      </w:r>
      <w:r>
        <w:rPr>
          <w:rFonts w:hint="eastAsia" w:asciiTheme="minorEastAsia" w:hAnsiTheme="minorEastAsia"/>
          <w:sz w:val="32"/>
          <w:szCs w:val="32"/>
        </w:rPr>
        <w:t>财政拨款的公务用车</w:t>
      </w:r>
      <w:r>
        <w:rPr>
          <w:rFonts w:hint="eastAsia" w:asciiTheme="minorEastAsia" w:hAnsiTheme="minorEastAsia"/>
          <w:sz w:val="32"/>
          <w:szCs w:val="32"/>
          <w:lang w:eastAsia="zh-CN"/>
        </w:rPr>
        <w:t>；</w:t>
      </w:r>
      <w:r>
        <w:rPr>
          <w:rFonts w:hint="eastAsia" w:cs="黑体" w:asciiTheme="minorEastAsia" w:hAnsiTheme="minorEastAsia"/>
          <w:color w:val="000000"/>
          <w:kern w:val="0"/>
          <w:sz w:val="32"/>
          <w:szCs w:val="32"/>
          <w:lang w:eastAsia="zh-CN"/>
        </w:rPr>
        <w:t>车牌号码为湘M</w:t>
      </w:r>
      <w:r>
        <w:rPr>
          <w:rFonts w:hint="eastAsia" w:cs="黑体" w:asciiTheme="minorEastAsia" w:hAnsiTheme="minorEastAsia"/>
          <w:color w:val="000000"/>
          <w:kern w:val="0"/>
          <w:sz w:val="32"/>
          <w:szCs w:val="32"/>
          <w:lang w:val="en-US" w:eastAsia="zh-CN"/>
        </w:rPr>
        <w:t>14178车辆目前为封存状态</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lang w:val="en-US" w:eastAsia="zh-CN"/>
        </w:rPr>
        <w:t>其中，领导干部用车0辆、机要通信用车0辆、应急保障用车0辆、执法执勤用车0辆、特种专业技术用车0辆、其他用车0辆；单位价值50万元以上通用设备0台（套）；单位价值100万元以上专用设备0台（套）</w:t>
      </w:r>
      <w:r>
        <w:rPr>
          <w:rFonts w:hint="eastAsia" w:ascii="仿宋" w:hAnsi="仿宋" w:eastAsia="仿宋" w:cs="仿宋"/>
          <w:color w:val="333333"/>
          <w:kern w:val="0"/>
          <w:sz w:val="32"/>
          <w:szCs w:val="32"/>
          <w:shd w:val="clear" w:fill="FFFFFF"/>
          <w:lang w:val="en-US" w:eastAsia="zh-CN" w:bidi="ar"/>
        </w:rPr>
        <w:t>。</w:t>
      </w:r>
    </w:p>
    <w:p>
      <w:pPr>
        <w:ind w:firstLine="640" w:firstLineChars="200"/>
        <w:rPr>
          <w:rFonts w:cs="黑体" w:asciiTheme="minorEastAsia" w:hAnsiTheme="minorEastAsia"/>
          <w:color w:val="000000"/>
          <w:kern w:val="0"/>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both"/>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一、基本</w:t>
      </w:r>
      <w:r>
        <w:rPr>
          <w:rFonts w:hint="eastAsia" w:cs="黑体" w:asciiTheme="minorEastAsia" w:hAnsiTheme="minorEastAsia"/>
          <w:color w:val="000000"/>
          <w:kern w:val="0"/>
          <w:sz w:val="32"/>
          <w:szCs w:val="32"/>
          <w:lang w:eastAsia="zh-CN"/>
        </w:rPr>
        <w:t>支</w:t>
      </w:r>
      <w:r>
        <w:rPr>
          <w:rFonts w:hint="eastAsia" w:cs="黑体" w:asciiTheme="minorEastAsia" w:hAnsiTheme="minorEastAsia"/>
          <w:color w:val="000000"/>
          <w:kern w:val="0"/>
          <w:sz w:val="32"/>
          <w:szCs w:val="32"/>
        </w:rPr>
        <w:t xml:space="preserve">出：指为保障机构正常运转、完成日常工作任务而发生的各项支出，包括人员支出和公用支出。 </w:t>
      </w:r>
      <w:r>
        <w:rPr>
          <w:rFonts w:hint="eastAsia" w:cs="黑体" w:asciiTheme="minorEastAsia" w:hAnsiTheme="minorEastAsia"/>
          <w:color w:val="000000"/>
          <w:kern w:val="0"/>
          <w:sz w:val="32"/>
          <w:szCs w:val="32"/>
        </w:rPr>
        <w:br w:type="textWrapping"/>
      </w:r>
      <w:r>
        <w:rPr>
          <w:rFonts w:hint="eastAsia" w:cs="黑体" w:asciiTheme="minorEastAsia" w:hAnsiTheme="minorEastAsia"/>
          <w:color w:val="000000"/>
          <w:kern w:val="0"/>
          <w:sz w:val="32"/>
          <w:szCs w:val="32"/>
          <w:lang w:val="en-US" w:eastAsia="zh-CN"/>
        </w:rPr>
        <w:t xml:space="preserve">    </w:t>
      </w:r>
      <w:r>
        <w:rPr>
          <w:rFonts w:hint="eastAsia" w:cs="黑体" w:asciiTheme="minorEastAsia" w:hAnsiTheme="minorEastAsia"/>
          <w:color w:val="000000"/>
          <w:kern w:val="0"/>
          <w:sz w:val="32"/>
          <w:szCs w:val="32"/>
          <w:lang w:eastAsia="zh-CN"/>
        </w:rPr>
        <w:t>二、</w:t>
      </w:r>
      <w:r>
        <w:rPr>
          <w:rFonts w:hint="eastAsia" w:cs="黑体" w:asciiTheme="minorEastAsia" w:hAnsiTheme="minorEastAsia"/>
          <w:color w:val="000000"/>
          <w:kern w:val="0"/>
          <w:sz w:val="32"/>
          <w:szCs w:val="32"/>
        </w:rPr>
        <w:t xml:space="preserve">项目支出：指在基本支出以外为完成相关行政任务和事业发展目标所发生的各项支出。 </w:t>
      </w:r>
      <w:r>
        <w:rPr>
          <w:rFonts w:hint="eastAsia" w:cs="黑体" w:asciiTheme="minorEastAsia" w:hAnsiTheme="minorEastAsia"/>
          <w:color w:val="000000"/>
          <w:kern w:val="0"/>
          <w:sz w:val="32"/>
          <w:szCs w:val="32"/>
        </w:rPr>
        <w:br w:type="textWrapping"/>
      </w:r>
      <w:r>
        <w:rPr>
          <w:rFonts w:hint="eastAsia" w:cs="黑体" w:asciiTheme="minorEastAsia" w:hAnsiTheme="minorEastAsia"/>
          <w:color w:val="000000"/>
          <w:kern w:val="0"/>
          <w:sz w:val="32"/>
          <w:szCs w:val="32"/>
          <w:lang w:val="en-US" w:eastAsia="zh-CN"/>
        </w:rPr>
        <w:t xml:space="preserve">    </w:t>
      </w:r>
      <w:r>
        <w:rPr>
          <w:rFonts w:hint="eastAsia" w:cs="黑体" w:asciiTheme="minorEastAsia" w:hAnsiTheme="minorEastAsia"/>
          <w:color w:val="000000"/>
          <w:kern w:val="0"/>
          <w:sz w:val="32"/>
          <w:szCs w:val="32"/>
          <w:lang w:eastAsia="zh-CN"/>
        </w:rPr>
        <w:t>三、</w:t>
      </w:r>
      <w:r>
        <w:rPr>
          <w:rFonts w:hint="eastAsia" w:cs="黑体" w:asciiTheme="minorEastAsia" w:hAnsiTheme="minorEastAsia"/>
          <w:color w:val="000000"/>
          <w:kern w:val="0"/>
          <w:sz w:val="32"/>
          <w:szCs w:val="32"/>
        </w:rPr>
        <w:t xml:space="preserve">“三公”经费：指通过财政拨款资金安排的因公出国（境）费、公务用车购置及运行费和公务接待费支出。 </w:t>
      </w:r>
      <w:r>
        <w:rPr>
          <w:rFonts w:hint="eastAsia" w:cs="黑体" w:asciiTheme="minorEastAsia" w:hAnsiTheme="minorEastAsia"/>
          <w:color w:val="000000"/>
          <w:kern w:val="0"/>
          <w:sz w:val="32"/>
          <w:szCs w:val="32"/>
        </w:rPr>
        <w:br w:type="textWrapping"/>
      </w:r>
      <w:r>
        <w:rPr>
          <w:rFonts w:hint="eastAsia" w:cs="黑体" w:asciiTheme="minorEastAsia" w:hAnsiTheme="minorEastAsia"/>
          <w:color w:val="000000"/>
          <w:kern w:val="0"/>
          <w:sz w:val="32"/>
          <w:szCs w:val="32"/>
          <w:lang w:val="en-US" w:eastAsia="zh-CN"/>
        </w:rPr>
        <w:t xml:space="preserve">    </w:t>
      </w:r>
      <w:r>
        <w:rPr>
          <w:rFonts w:hint="eastAsia" w:cs="黑体" w:asciiTheme="minorEastAsia" w:hAnsiTheme="minorEastAsia"/>
          <w:color w:val="000000"/>
          <w:kern w:val="0"/>
          <w:sz w:val="32"/>
          <w:szCs w:val="32"/>
          <w:lang w:eastAsia="zh-CN"/>
        </w:rPr>
        <w:t>四、</w:t>
      </w:r>
      <w:r>
        <w:rPr>
          <w:rFonts w:hint="eastAsia" w:cs="黑体" w:asciiTheme="minorEastAsia" w:hAnsiTheme="minorEastAsia"/>
          <w:color w:val="000000"/>
          <w:kern w:val="0"/>
          <w:sz w:val="32"/>
          <w:szCs w:val="32"/>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cs="黑体" w:asciiTheme="minorEastAsia" w:hAnsiTheme="minorEastAsia"/>
          <w:color w:val="000000"/>
          <w:kern w:val="0"/>
          <w:sz w:val="32"/>
          <w:szCs w:val="32"/>
        </w:rPr>
      </w:pPr>
    </w:p>
    <w:p>
      <w:pPr>
        <w:widowControl/>
        <w:jc w:val="left"/>
        <w:rPr>
          <w:rFonts w:asciiTheme="minorEastAsia" w:hAnsiTheme="minorEastAsia"/>
          <w:i/>
          <w:color w:val="FF0000"/>
          <w:sz w:val="32"/>
          <w:szCs w:val="32"/>
        </w:rPr>
      </w:pPr>
      <w:r>
        <w:rPr>
          <w:rFonts w:asciiTheme="minorEastAsia" w:hAnsiTheme="minorEastAsia"/>
          <w:i/>
          <w:color w:val="FF0000"/>
          <w:sz w:val="32"/>
          <w:szCs w:val="32"/>
        </w:rPr>
        <w:br w:type="page"/>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widowControl/>
        <w:jc w:val="center"/>
        <w:rPr>
          <w:rFonts w:ascii="黑体" w:eastAsia="黑体" w:cs="黑体"/>
          <w:color w:val="000000"/>
          <w:kern w:val="0"/>
          <w:sz w:val="70"/>
          <w:szCs w:val="70"/>
        </w:rPr>
      </w:pPr>
      <w:r>
        <w:rPr>
          <w:rFonts w:hint="eastAsia" w:ascii="黑体" w:eastAsia="黑体" w:cs="黑体"/>
          <w:color w:val="000000"/>
          <w:kern w:val="0"/>
          <w:sz w:val="70"/>
          <w:szCs w:val="70"/>
          <w:lang w:val="en-US" w:eastAsia="zh-CN"/>
        </w:rPr>
        <w:t>2019年度部门整体支出绩效评价报告</w:t>
      </w: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2019年度部门整体支出绩效</w:t>
      </w:r>
      <w:r>
        <w:rPr>
          <w:rFonts w:hint="eastAsia" w:cs="黑体" w:asciiTheme="minorEastAsia" w:hAnsiTheme="minorEastAsia"/>
          <w:b/>
          <w:color w:val="000000"/>
          <w:kern w:val="0"/>
          <w:sz w:val="32"/>
          <w:szCs w:val="32"/>
          <w:lang w:eastAsia="zh-CN"/>
        </w:rPr>
        <w:t>评价</w:t>
      </w:r>
      <w:r>
        <w:rPr>
          <w:rFonts w:hint="eastAsia" w:cs="黑体" w:asciiTheme="minorEastAsia" w:hAnsiTheme="minorEastAsia"/>
          <w:b/>
          <w:color w:val="000000"/>
          <w:kern w:val="0"/>
          <w:sz w:val="32"/>
          <w:szCs w:val="32"/>
        </w:rPr>
        <w:t>报告</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一、单位情况</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（一）基本情况。</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1．主要职能。根据市编办《关于印发〈永州市不动产登记中心主要职责内设机构和人员编制规定〉的通知》（永编办发〔2016〕105号）、永编办发【2018】73号文件规定，我单位为归口市自然资源和规划局管理的副处级公益一类事业单位，主要工作职责是： </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⑴宣传贯彻执行有关不动产登记的法律、法规、规章和政策；</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⑵承办冷水滩区（含永州经济技术开发区）范围内土地、房屋、林地等不动产登记工作；</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⑶负责拟定不动产登记业务规范和工作流程，协助做好全市不动产登记业务指导和监管； </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⑷负责不动产登记资料的收集、整理、保管、备份、归档工作； </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⑸负责不动产登记数据整合和利用，开展全市不动产登记统计、分析，依法提供不动产登记查询服务；</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⑹承办市自然资源和规划局交办的其他工作；</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我中心2019年部门整体支出围绕绩效评价指标体系，通过数据采集分析，实地检查及电话回访等方式，对绩效进行了客观、公开的评价，最终评价结果为99分，绩效等级为优。</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二、部门整体支出使用情况和当年重点工作</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基本支出1959.28万元。①工资福利支出1418.58万元；②一般商品和服务支出200.81万元；③对个人和家庭的补助13.32万元；④信息网络及软件购置更新项目支出326.57万元。</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2019年，市不动产登记中心在市局党组的正确领导下，更优更快地完成不动产登记发证工作；以《关于压缩不动产登记办理时间的通知》（国办发[2019]8号）文件为契机，采取一系列便民、惠民举措，不断压缩不动产登记权证办结时间；为解决房地产开发历史遗留问题，进一步提高提升群众的满意度和获得感，市不动产登记中心将房地产开发遗留问题的处理和化解作为“不忘初心、牢记使命”主题教育的重要活动内容，多次深入”问题小区“现场调研，化解疑难问题。</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三、绩效评价情况。</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我中心2019年绩效目标完成较好，部门整体支出绩效评价99分；在政府采购执行率上没达标扣1分。</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根据我中心绩效管理目标，中心部门整体支出保障了我中心工作的正常开展，更好地完成了冷水滩区（含永州经济技术开发区）范围内土地、房屋、林地等不动产登记等工作。</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由于计划需采购的项目未达到采购条件，导致单位在政府采购执行率上未达标。</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四、下一步工作安排。</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（一）应用绩效评价结果</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(1)绩效评价结果可作为财政部门每年安排部门预算的重要依据，为预算编制提供参考，同时也可作为业务管理部门每年安排该项工作的参考。</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(2)通过绩效评价结果了解单位财政资金使用状况，分析诊断单位内部管理问题，促进单位树立绩效意识、管理意识和责任意识。  </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(3)通过本次绩效评价工作，补充和完善本单位绩效评价机制，进一步规范项目的管理和监督、资金的分配和使用，以便对今后其他项目以绩效评价的方式衡量项目的产出结果和效益目标，促进项目管理科学化。</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(二)存在的问题</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项目主要存在未制定项目实施管理办法，导致预算完成率不达标。</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(三)建议和改进举措</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需制定项目实施管理制度，使得项目实施能严格按制度执行，确保项目完成质量度高，加强部门预算执行的及时和均衡。</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sz w:val="72"/>
          <w:szCs w:val="72"/>
        </w:rPr>
      </w:pPr>
      <w:r>
        <w:rPr>
          <w:rFonts w:hint="eastAsia"/>
          <w:sz w:val="72"/>
          <w:szCs w:val="72"/>
        </w:rPr>
        <w:t>第</w:t>
      </w:r>
      <w:r>
        <w:rPr>
          <w:rFonts w:hint="eastAsia"/>
          <w:sz w:val="72"/>
          <w:szCs w:val="72"/>
          <w:lang w:eastAsia="zh-CN"/>
        </w:rPr>
        <w:t>六</w:t>
      </w:r>
      <w:r>
        <w:rPr>
          <w:rFonts w:hint="eastAsia"/>
          <w:sz w:val="72"/>
          <w:szCs w:val="72"/>
        </w:rPr>
        <w:t>部分</w:t>
      </w:r>
    </w:p>
    <w:p>
      <w:pPr>
        <w:jc w:val="center"/>
        <w:rPr>
          <w:rFonts w:ascii="黑体" w:eastAsia="黑体" w:cs="黑体"/>
          <w:color w:val="000000"/>
          <w:kern w:val="0"/>
          <w:sz w:val="70"/>
          <w:szCs w:val="70"/>
        </w:rPr>
      </w:pPr>
    </w:p>
    <w:p>
      <w:pPr>
        <w:widowControl/>
        <w:shd w:val="clear" w:color="auto" w:fill="FFFFFF"/>
        <w:spacing w:before="100" w:beforeAutospacing="1" w:after="120" w:line="480" w:lineRule="auto"/>
        <w:ind w:firstLine="1400" w:firstLineChars="200"/>
        <w:jc w:val="left"/>
        <w:rPr>
          <w:rFonts w:hint="eastAsia" w:ascii="黑体" w:eastAsia="黑体" w:cs="黑体"/>
          <w:color w:val="000000"/>
          <w:kern w:val="0"/>
          <w:sz w:val="70"/>
          <w:szCs w:val="70"/>
          <w:lang w:val="en-US" w:eastAsia="zh-CN"/>
        </w:rPr>
      </w:pPr>
      <w:r>
        <w:rPr>
          <w:rFonts w:hint="eastAsia" w:ascii="黑体" w:eastAsia="黑体" w:cs="黑体"/>
          <w:color w:val="000000"/>
          <w:kern w:val="0"/>
          <w:sz w:val="70"/>
          <w:szCs w:val="70"/>
          <w:lang w:val="en-US" w:eastAsia="zh-CN"/>
        </w:rPr>
        <w:t>2019年度部门项目支出绩效评价报告</w:t>
      </w:r>
    </w:p>
    <w:p>
      <w:pPr>
        <w:widowControl/>
        <w:shd w:val="clear" w:color="auto" w:fill="FFFFFF"/>
        <w:spacing w:before="100" w:beforeAutospacing="1" w:after="120" w:line="480" w:lineRule="auto"/>
        <w:ind w:firstLine="1400" w:firstLineChars="200"/>
        <w:jc w:val="left"/>
        <w:rPr>
          <w:rFonts w:hint="eastAsia" w:ascii="黑体" w:eastAsia="黑体" w:cs="黑体"/>
          <w:color w:val="000000"/>
          <w:kern w:val="0"/>
          <w:sz w:val="70"/>
          <w:szCs w:val="70"/>
          <w:lang w:val="en-US" w:eastAsia="zh-CN"/>
        </w:rPr>
      </w:pPr>
    </w:p>
    <w:p>
      <w:pPr>
        <w:widowControl/>
        <w:shd w:val="clear" w:color="auto" w:fill="FFFFFF"/>
        <w:spacing w:before="100" w:beforeAutospacing="1" w:after="120" w:line="480" w:lineRule="auto"/>
        <w:ind w:firstLine="1400" w:firstLineChars="200"/>
        <w:jc w:val="left"/>
        <w:rPr>
          <w:rFonts w:hint="eastAsia" w:ascii="黑体" w:eastAsia="黑体" w:cs="黑体"/>
          <w:color w:val="000000"/>
          <w:kern w:val="0"/>
          <w:sz w:val="70"/>
          <w:szCs w:val="70"/>
          <w:lang w:val="en-US" w:eastAsia="zh-CN"/>
        </w:rPr>
      </w:pPr>
    </w:p>
    <w:p>
      <w:pPr>
        <w:widowControl/>
        <w:shd w:val="clear" w:color="auto" w:fill="FFFFFF"/>
        <w:spacing w:before="100" w:beforeAutospacing="1" w:after="120" w:line="480" w:lineRule="auto"/>
        <w:ind w:firstLine="1400" w:firstLineChars="200"/>
        <w:jc w:val="left"/>
        <w:rPr>
          <w:rFonts w:hint="eastAsia" w:ascii="黑体" w:eastAsia="黑体" w:cs="黑体"/>
          <w:color w:val="000000"/>
          <w:kern w:val="0"/>
          <w:sz w:val="70"/>
          <w:szCs w:val="70"/>
          <w:lang w:val="en-US" w:eastAsia="zh-CN"/>
        </w:rPr>
      </w:pPr>
    </w:p>
    <w:p>
      <w:pPr>
        <w:widowControl/>
        <w:shd w:val="clear" w:color="auto" w:fill="FFFFFF"/>
        <w:spacing w:before="100" w:beforeAutospacing="1" w:after="120" w:line="480" w:lineRule="auto"/>
        <w:ind w:firstLine="1400" w:firstLineChars="200"/>
        <w:jc w:val="left"/>
        <w:rPr>
          <w:rFonts w:hint="eastAsia" w:ascii="黑体" w:eastAsia="黑体" w:cs="黑体"/>
          <w:color w:val="000000"/>
          <w:kern w:val="0"/>
          <w:sz w:val="70"/>
          <w:szCs w:val="70"/>
          <w:lang w:val="en-US" w:eastAsia="zh-CN"/>
        </w:rPr>
      </w:pPr>
    </w:p>
    <w:p>
      <w:pPr>
        <w:widowControl/>
        <w:shd w:val="clear" w:color="auto" w:fill="FFFFFF"/>
        <w:spacing w:before="100" w:beforeAutospacing="1" w:after="120" w:line="480" w:lineRule="auto"/>
        <w:ind w:firstLine="1400" w:firstLineChars="200"/>
        <w:jc w:val="left"/>
        <w:rPr>
          <w:rFonts w:hint="eastAsia" w:ascii="黑体" w:eastAsia="黑体" w:cs="黑体"/>
          <w:color w:val="000000"/>
          <w:kern w:val="0"/>
          <w:sz w:val="70"/>
          <w:szCs w:val="70"/>
          <w:lang w:val="en-US" w:eastAsia="zh-CN"/>
        </w:rPr>
      </w:pPr>
    </w:p>
    <w:p>
      <w:pPr>
        <w:widowControl/>
        <w:shd w:val="clear" w:color="auto" w:fill="FFFFFF"/>
        <w:spacing w:before="100" w:beforeAutospacing="1" w:after="120" w:line="480" w:lineRule="auto"/>
        <w:ind w:firstLine="1400" w:firstLineChars="200"/>
        <w:jc w:val="left"/>
        <w:rPr>
          <w:rFonts w:hint="eastAsia" w:ascii="黑体" w:eastAsia="黑体" w:cs="黑体"/>
          <w:color w:val="000000"/>
          <w:kern w:val="0"/>
          <w:sz w:val="70"/>
          <w:szCs w:val="70"/>
          <w:lang w:val="en-US" w:eastAsia="zh-CN"/>
        </w:rPr>
      </w:pPr>
    </w:p>
    <w:p>
      <w:pPr>
        <w:widowControl/>
        <w:shd w:val="clear" w:color="auto" w:fill="FFFFFF"/>
        <w:spacing w:before="100" w:beforeAutospacing="1" w:after="120" w:line="480" w:lineRule="auto"/>
        <w:ind w:firstLine="1400" w:firstLineChars="200"/>
        <w:jc w:val="left"/>
        <w:rPr>
          <w:rFonts w:hint="eastAsia" w:ascii="黑体" w:eastAsia="黑体" w:cs="黑体"/>
          <w:color w:val="000000"/>
          <w:kern w:val="0"/>
          <w:sz w:val="70"/>
          <w:szCs w:val="70"/>
          <w:lang w:val="en-US" w:eastAsia="zh-CN"/>
        </w:rPr>
      </w:pPr>
    </w:p>
    <w:p>
      <w:pPr>
        <w:ind w:firstLine="640" w:firstLineChars="200"/>
        <w:jc w:val="center"/>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永州市不动产登记中心信息化建设项目2019年度</w:t>
      </w:r>
    </w:p>
    <w:p>
      <w:pPr>
        <w:ind w:firstLine="640" w:firstLineChars="200"/>
        <w:jc w:val="center"/>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eastAsia="zh-CN"/>
        </w:rPr>
        <w:t>部门项目支出</w:t>
      </w:r>
      <w:r>
        <w:rPr>
          <w:rFonts w:hint="eastAsia" w:cs="黑体" w:asciiTheme="minorEastAsia" w:hAnsiTheme="minorEastAsia"/>
          <w:b/>
          <w:color w:val="000000"/>
          <w:kern w:val="0"/>
          <w:sz w:val="32"/>
          <w:szCs w:val="32"/>
        </w:rPr>
        <w:t>绩效</w:t>
      </w:r>
      <w:r>
        <w:rPr>
          <w:rFonts w:hint="eastAsia" w:cs="黑体" w:asciiTheme="minorEastAsia" w:hAnsiTheme="minorEastAsia"/>
          <w:b/>
          <w:color w:val="000000"/>
          <w:kern w:val="0"/>
          <w:sz w:val="32"/>
          <w:szCs w:val="32"/>
          <w:lang w:eastAsia="zh-CN"/>
        </w:rPr>
        <w:t>评价</w:t>
      </w:r>
      <w:r>
        <w:rPr>
          <w:rFonts w:hint="eastAsia" w:cs="黑体" w:asciiTheme="minorEastAsia" w:hAnsiTheme="minorEastAsia"/>
          <w:b/>
          <w:color w:val="000000"/>
          <w:kern w:val="0"/>
          <w:sz w:val="32"/>
          <w:szCs w:val="32"/>
        </w:rPr>
        <w:t>报告</w:t>
      </w:r>
    </w:p>
    <w:p>
      <w:pPr>
        <w:ind w:firstLine="640" w:firstLineChars="200"/>
        <w:rPr>
          <w:rFonts w:ascii="仿宋_GB2312" w:hAnsi="宋体" w:eastAsia="仿宋_GB2312" w:cs="宋体"/>
          <w:bCs/>
          <w:sz w:val="32"/>
          <w:szCs w:val="32"/>
        </w:rPr>
      </w:pP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一、基本情况</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永州市不动产登记中心信息化建设项目总体情况良好，项目按照年初的计划有条不紊地进行，已完成的项目达到采购要求，能满足工作需求；未完成的项目正在按计划稳步推进中。</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2019年度，中心涉及3个信息化建设项目，其中2个项目正在实施中，1个项目已按计划完成建设内容，所有项目合同款皆在项目专项预算内，绩效目标表现优秀。</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二、绩效自评工作开展情况</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前期准备工作充分、组织过程有计划，执行到位，自评结论客观全面。</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三、综合评价结论</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所有项目都是按照采购程序立项、报批、财政评审、公开招投标等程序进行的，不动产登记系统维保项目是参照全省其他不动产登记中心维保金额以及以往维护费拟定后报财政当年预算审批通过确定。项目整个过程规范，资金管理科学，使用得当。</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四、绩效目标实现情况分析</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（一）项目资金情况分析。</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由于财政吃紧，项目资金到位有些困难，但在财政领导的关心和支持下，项目资金分批次到位，基本上解决了当年度的项目款项。项目资金到位后，按照项目合同约定，及时付给企业，未拖欠企业款项，资金执行到位，管理科学有效。</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（二）项目绩效指标完成情况分析。</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已完成的项目绩效比较明显，服务到位，工作效率明显提高，用户的满意度提高。未完成的项目正在抓紧实施中，向着高要求高目标进行。</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五、绩效目标未完成原因和下一步改进措施</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项目在第四季度才开始实施，离年底绩效评估考核时间短，而项目工程量大、周期长，接下来严格要求，督促实施单位加快进度，保质保量完成项目计划。</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六、绩效自评结果拟应用和公开情况</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绩效自评结果拟应用于以后的项目建设中，吸取项目建设经验，防止类似的错误在项目实施中再现。</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七、绩效自评工作的经验、问题和建议。</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如实根据项目进展总结汇报，挖掘项目项目实施中的问题，及时纠正，以保证项目绩效最大化。</w:t>
      </w:r>
    </w:p>
    <w:p>
      <w:pPr>
        <w:widowControl/>
        <w:shd w:val="clear" w:color="auto" w:fill="FFFFFF"/>
        <w:spacing w:before="100" w:beforeAutospacing="1" w:after="120" w:line="480" w:lineRule="auto"/>
        <w:ind w:firstLine="640" w:firstLineChars="200"/>
        <w:jc w:val="left"/>
        <w:rPr>
          <w:rFonts w:hint="eastAsia" w:cs="黑体" w:asciiTheme="minorEastAsia" w:hAnsiTheme="minorEastAsia"/>
          <w:color w:val="000000"/>
          <w:kern w:val="0"/>
          <w:sz w:val="32"/>
          <w:szCs w:val="32"/>
        </w:rPr>
      </w:pPr>
    </w:p>
    <w:p>
      <w:pPr>
        <w:widowControl/>
        <w:shd w:val="clear" w:color="auto" w:fill="FFFFFF"/>
        <w:spacing w:before="100" w:beforeAutospacing="1" w:after="120" w:line="480" w:lineRule="auto"/>
        <w:ind w:firstLine="1400" w:firstLineChars="200"/>
        <w:jc w:val="left"/>
        <w:rPr>
          <w:rFonts w:hint="eastAsia" w:ascii="黑体" w:eastAsia="黑体" w:cs="黑体"/>
          <w:color w:val="000000"/>
          <w:kern w:val="0"/>
          <w:sz w:val="70"/>
          <w:szCs w:val="70"/>
          <w:lang w:val="en-US" w:eastAsia="zh-CN"/>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5D78C2"/>
    <w:multiLevelType w:val="singleLevel"/>
    <w:tmpl w:val="415D78C2"/>
    <w:lvl w:ilvl="0" w:tentative="0">
      <w:start w:val="2"/>
      <w:numFmt w:val="chineseCounting"/>
      <w:suff w:val="nothing"/>
      <w:lvlText w:val="%1、"/>
      <w:lvlJc w:val="left"/>
      <w:rPr>
        <w:rFonts w:hint="eastAsia"/>
      </w:rPr>
    </w:lvl>
  </w:abstractNum>
  <w:abstractNum w:abstractNumId="1">
    <w:nsid w:val="60B77AA3"/>
    <w:multiLevelType w:val="singleLevel"/>
    <w:tmpl w:val="60B77AA3"/>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611E0"/>
    <w:rsid w:val="000658A3"/>
    <w:rsid w:val="00074155"/>
    <w:rsid w:val="000A3F69"/>
    <w:rsid w:val="00152C6D"/>
    <w:rsid w:val="00162D39"/>
    <w:rsid w:val="001A67DB"/>
    <w:rsid w:val="001D51E5"/>
    <w:rsid w:val="001F0C3B"/>
    <w:rsid w:val="00214427"/>
    <w:rsid w:val="00265724"/>
    <w:rsid w:val="0027426B"/>
    <w:rsid w:val="003479BD"/>
    <w:rsid w:val="003768D5"/>
    <w:rsid w:val="004506F9"/>
    <w:rsid w:val="004717A2"/>
    <w:rsid w:val="00491741"/>
    <w:rsid w:val="00500E5F"/>
    <w:rsid w:val="005122EF"/>
    <w:rsid w:val="00517C33"/>
    <w:rsid w:val="00523644"/>
    <w:rsid w:val="0054069E"/>
    <w:rsid w:val="005767CC"/>
    <w:rsid w:val="00590D9F"/>
    <w:rsid w:val="00595D26"/>
    <w:rsid w:val="005A74E6"/>
    <w:rsid w:val="005D4D55"/>
    <w:rsid w:val="005E2CFB"/>
    <w:rsid w:val="0062378F"/>
    <w:rsid w:val="00651EEC"/>
    <w:rsid w:val="006A351B"/>
    <w:rsid w:val="006B0422"/>
    <w:rsid w:val="006C1B53"/>
    <w:rsid w:val="006D7730"/>
    <w:rsid w:val="006E5284"/>
    <w:rsid w:val="006F3EB5"/>
    <w:rsid w:val="00702E34"/>
    <w:rsid w:val="00704395"/>
    <w:rsid w:val="00720FF1"/>
    <w:rsid w:val="00812ED5"/>
    <w:rsid w:val="008277D9"/>
    <w:rsid w:val="008A3E8D"/>
    <w:rsid w:val="009237C4"/>
    <w:rsid w:val="00950252"/>
    <w:rsid w:val="00967F5D"/>
    <w:rsid w:val="009A0F95"/>
    <w:rsid w:val="009B3ADF"/>
    <w:rsid w:val="009C3B52"/>
    <w:rsid w:val="00A42218"/>
    <w:rsid w:val="00A70249"/>
    <w:rsid w:val="00B33BEA"/>
    <w:rsid w:val="00B57C9F"/>
    <w:rsid w:val="00B845B3"/>
    <w:rsid w:val="00B85D8B"/>
    <w:rsid w:val="00BE3674"/>
    <w:rsid w:val="00C3049A"/>
    <w:rsid w:val="00C31B1E"/>
    <w:rsid w:val="00C77645"/>
    <w:rsid w:val="00CE04C3"/>
    <w:rsid w:val="00CE76A0"/>
    <w:rsid w:val="00D148C6"/>
    <w:rsid w:val="00DD06FF"/>
    <w:rsid w:val="00DD5FE9"/>
    <w:rsid w:val="00E00C7A"/>
    <w:rsid w:val="00E55B68"/>
    <w:rsid w:val="00F74360"/>
    <w:rsid w:val="00FB462F"/>
    <w:rsid w:val="00FE16FA"/>
    <w:rsid w:val="00FE328A"/>
    <w:rsid w:val="06FD51EE"/>
    <w:rsid w:val="099235FA"/>
    <w:rsid w:val="0B307CAB"/>
    <w:rsid w:val="0CF95BC6"/>
    <w:rsid w:val="0D3A6AFA"/>
    <w:rsid w:val="0F41035C"/>
    <w:rsid w:val="0F9855B8"/>
    <w:rsid w:val="12CD07CD"/>
    <w:rsid w:val="132E67F3"/>
    <w:rsid w:val="13505C68"/>
    <w:rsid w:val="15EE1C2F"/>
    <w:rsid w:val="164D21AD"/>
    <w:rsid w:val="17866A33"/>
    <w:rsid w:val="1828074E"/>
    <w:rsid w:val="1B1B0DAB"/>
    <w:rsid w:val="1B3D25D4"/>
    <w:rsid w:val="1CEF268B"/>
    <w:rsid w:val="1F1E1808"/>
    <w:rsid w:val="1F5803E4"/>
    <w:rsid w:val="1F9B5F8C"/>
    <w:rsid w:val="21541DD1"/>
    <w:rsid w:val="21925A7C"/>
    <w:rsid w:val="22381682"/>
    <w:rsid w:val="23F375DC"/>
    <w:rsid w:val="259B1A02"/>
    <w:rsid w:val="269645DB"/>
    <w:rsid w:val="270C04BD"/>
    <w:rsid w:val="28BD2CCC"/>
    <w:rsid w:val="29BE1203"/>
    <w:rsid w:val="2AB741A0"/>
    <w:rsid w:val="2C25070B"/>
    <w:rsid w:val="2ED127C4"/>
    <w:rsid w:val="32B74234"/>
    <w:rsid w:val="32CA0892"/>
    <w:rsid w:val="33494D2F"/>
    <w:rsid w:val="35CB67C3"/>
    <w:rsid w:val="39DB420A"/>
    <w:rsid w:val="3D4D7586"/>
    <w:rsid w:val="429C1E78"/>
    <w:rsid w:val="432B4574"/>
    <w:rsid w:val="447C6BAD"/>
    <w:rsid w:val="47297194"/>
    <w:rsid w:val="496E7C38"/>
    <w:rsid w:val="4B6A0405"/>
    <w:rsid w:val="4C3016B3"/>
    <w:rsid w:val="4D2F3D12"/>
    <w:rsid w:val="4DCE7C97"/>
    <w:rsid w:val="4E1326BB"/>
    <w:rsid w:val="4ED73795"/>
    <w:rsid w:val="581E1ED3"/>
    <w:rsid w:val="5A52634A"/>
    <w:rsid w:val="5C7453AD"/>
    <w:rsid w:val="5DAD3FD9"/>
    <w:rsid w:val="5FB72A5B"/>
    <w:rsid w:val="60B43EB8"/>
    <w:rsid w:val="613B1B96"/>
    <w:rsid w:val="65B54340"/>
    <w:rsid w:val="65F90DFC"/>
    <w:rsid w:val="6A1F6AAF"/>
    <w:rsid w:val="6BD34D6C"/>
    <w:rsid w:val="6D4D70CD"/>
    <w:rsid w:val="6FDD032A"/>
    <w:rsid w:val="717C3AD2"/>
    <w:rsid w:val="74BD4B5A"/>
    <w:rsid w:val="75AB4023"/>
    <w:rsid w:val="78BA5A2F"/>
    <w:rsid w:val="791A4FD1"/>
    <w:rsid w:val="79A6061A"/>
    <w:rsid w:val="7D203850"/>
    <w:rsid w:val="7DFDADA0"/>
    <w:rsid w:val="7F0A2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1258</Words>
  <Characters>7176</Characters>
  <Lines>59</Lines>
  <Paragraphs>16</Paragraphs>
  <TotalTime>0</TotalTime>
  <ScaleCrop>false</ScaleCrop>
  <LinksUpToDate>false</LinksUpToDate>
  <CharactersWithSpaces>8418</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2020-07-02T10:32:00Z</dcterms:created>
  <dc:creator>李航 null</dc:creator>
  <cp:lastModifiedBy>kylin</cp:lastModifiedBy>
  <cp:lastPrinted>2020-09-07T16:02:00Z</cp:lastPrinted>
  <dcterms:modified xsi:type="dcterms:W3CDTF">2024-03-26T10:56:42Z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0714E52D7EEB61BB6A390266B8355CFC</vt:lpwstr>
  </property>
</Properties>
</file>